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1DD38" w14:textId="2D7837E8" w:rsidR="00B47600" w:rsidRDefault="00390366" w:rsidP="00390366">
      <w:pPr>
        <w:jc w:val="both"/>
        <w:rPr>
          <w:rFonts w:ascii="Arial" w:hAnsi="Arial" w:cs="Arial"/>
          <w:b/>
          <w:bCs/>
          <w:i/>
          <w:iCs/>
          <w:sz w:val="24"/>
          <w:szCs w:val="24"/>
          <w:lang w:val="it-IT"/>
        </w:rPr>
      </w:pPr>
      <w:r w:rsidRPr="00390366">
        <w:rPr>
          <w:rFonts w:ascii="Arial" w:hAnsi="Arial" w:cs="Arial"/>
          <w:b/>
          <w:bCs/>
          <w:i/>
          <w:iCs/>
          <w:sz w:val="24"/>
          <w:szCs w:val="24"/>
          <w:lang w:val="x-none"/>
        </w:rPr>
        <w:t>DOCUMENTO PER LA CONSULTAZIONE</w:t>
      </w:r>
      <w:r>
        <w:rPr>
          <w:rFonts w:ascii="Arial" w:hAnsi="Arial" w:cs="Arial"/>
          <w:b/>
          <w:bCs/>
          <w:i/>
          <w:iCs/>
          <w:sz w:val="24"/>
          <w:szCs w:val="24"/>
          <w:lang w:val="it-IT"/>
        </w:rPr>
        <w:t xml:space="preserve"> ARERA</w:t>
      </w:r>
      <w:r w:rsidR="00B47600">
        <w:rPr>
          <w:rFonts w:ascii="Arial" w:hAnsi="Arial" w:cs="Arial"/>
          <w:b/>
          <w:bCs/>
          <w:i/>
          <w:iCs/>
          <w:sz w:val="24"/>
          <w:szCs w:val="24"/>
          <w:lang w:val="it-IT"/>
        </w:rPr>
        <w:t xml:space="preserve"> </w:t>
      </w:r>
      <w:r w:rsidR="00F10896">
        <w:rPr>
          <w:rFonts w:ascii="Arial" w:hAnsi="Arial" w:cs="Arial"/>
          <w:b/>
          <w:bCs/>
          <w:i/>
          <w:iCs/>
          <w:sz w:val="24"/>
          <w:szCs w:val="24"/>
          <w:lang w:val="it-IT"/>
        </w:rPr>
        <w:t>196</w:t>
      </w:r>
      <w:r w:rsidRPr="00390366">
        <w:rPr>
          <w:rFonts w:ascii="Arial" w:hAnsi="Arial" w:cs="Arial"/>
          <w:b/>
          <w:bCs/>
          <w:i/>
          <w:iCs/>
          <w:sz w:val="24"/>
          <w:szCs w:val="24"/>
          <w:lang w:val="x-none"/>
        </w:rPr>
        <w:t>/2021/R/RIF</w:t>
      </w:r>
      <w:r>
        <w:rPr>
          <w:rFonts w:ascii="Arial" w:hAnsi="Arial" w:cs="Arial"/>
          <w:b/>
          <w:bCs/>
          <w:i/>
          <w:iCs/>
          <w:sz w:val="24"/>
          <w:szCs w:val="24"/>
          <w:lang w:val="it-IT"/>
        </w:rPr>
        <w:t xml:space="preserve"> </w:t>
      </w:r>
    </w:p>
    <w:p w14:paraId="329866B9" w14:textId="23C4E814" w:rsidR="00390366" w:rsidRPr="00377C8C" w:rsidRDefault="00377C8C" w:rsidP="00377C8C">
      <w:pPr>
        <w:jc w:val="both"/>
        <w:rPr>
          <w:rFonts w:ascii="Arial" w:hAnsi="Arial" w:cs="Arial"/>
          <w:b/>
          <w:bCs/>
          <w:i/>
          <w:iCs/>
          <w:sz w:val="24"/>
          <w:szCs w:val="24"/>
          <w:lang w:val="x-none"/>
        </w:rPr>
      </w:pPr>
      <w:r w:rsidRPr="00377C8C">
        <w:rPr>
          <w:rFonts w:ascii="Arial" w:hAnsi="Arial" w:cs="Arial"/>
          <w:b/>
          <w:bCs/>
          <w:i/>
          <w:iCs/>
          <w:sz w:val="24"/>
          <w:szCs w:val="24"/>
          <w:lang w:val="x-none"/>
        </w:rPr>
        <w:t>PRIMI ORIENTAMENTI PER LA DEFINIZIONE DEL METODO</w:t>
      </w:r>
      <w:r>
        <w:rPr>
          <w:rFonts w:ascii="Arial" w:hAnsi="Arial" w:cs="Arial"/>
          <w:b/>
          <w:bCs/>
          <w:i/>
          <w:iCs/>
          <w:sz w:val="24"/>
          <w:szCs w:val="24"/>
          <w:lang w:val="it-IT"/>
        </w:rPr>
        <w:t xml:space="preserve"> </w:t>
      </w:r>
      <w:r w:rsidRPr="00377C8C">
        <w:rPr>
          <w:rFonts w:ascii="Arial" w:hAnsi="Arial" w:cs="Arial"/>
          <w:b/>
          <w:bCs/>
          <w:i/>
          <w:iCs/>
          <w:sz w:val="24"/>
          <w:szCs w:val="24"/>
          <w:lang w:val="x-none"/>
        </w:rPr>
        <w:t>TARIFFARIO RIFIUTI PER IL SECONDO PERIODO REGOLATORIO</w:t>
      </w:r>
      <w:r>
        <w:rPr>
          <w:rFonts w:ascii="Arial" w:hAnsi="Arial" w:cs="Arial"/>
          <w:b/>
          <w:bCs/>
          <w:i/>
          <w:iCs/>
          <w:sz w:val="24"/>
          <w:szCs w:val="24"/>
          <w:lang w:val="it-IT"/>
        </w:rPr>
        <w:t xml:space="preserve"> </w:t>
      </w:r>
      <w:r w:rsidRPr="00377C8C">
        <w:rPr>
          <w:rFonts w:ascii="Arial" w:hAnsi="Arial" w:cs="Arial"/>
          <w:b/>
          <w:bCs/>
          <w:i/>
          <w:iCs/>
          <w:sz w:val="24"/>
          <w:szCs w:val="24"/>
          <w:lang w:val="x-none"/>
        </w:rPr>
        <w:t>(MTR-2)</w:t>
      </w:r>
    </w:p>
    <w:tbl>
      <w:tblPr>
        <w:tblStyle w:val="Grigliatabella"/>
        <w:tblW w:w="0" w:type="auto"/>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4A0" w:firstRow="1" w:lastRow="0" w:firstColumn="1" w:lastColumn="0" w:noHBand="0" w:noVBand="1"/>
      </w:tblPr>
      <w:tblGrid>
        <w:gridCol w:w="9300"/>
      </w:tblGrid>
      <w:tr w:rsidR="00390366" w:rsidRPr="00B12A0E" w14:paraId="20DB51CE" w14:textId="77777777" w:rsidTr="00390366">
        <w:tc>
          <w:tcPr>
            <w:tcW w:w="9350" w:type="dxa"/>
          </w:tcPr>
          <w:p w14:paraId="7B3C7E78" w14:textId="77777777" w:rsidR="00390366" w:rsidRPr="00390366" w:rsidRDefault="00390366" w:rsidP="00390366">
            <w:pPr>
              <w:jc w:val="center"/>
              <w:rPr>
                <w:rFonts w:ascii="Century Gothic" w:eastAsia="Calibri" w:hAnsi="Century Gothic" w:cs="Times New Roman"/>
                <w:color w:val="FF0000"/>
                <w:sz w:val="24"/>
                <w:szCs w:val="24"/>
                <w:lang w:val="it-IT"/>
              </w:rPr>
            </w:pPr>
            <w:r w:rsidRPr="00390366">
              <w:rPr>
                <w:rFonts w:ascii="Century Gothic" w:eastAsia="Calibri" w:hAnsi="Century Gothic" w:cs="Times New Roman"/>
                <w:color w:val="FF0000"/>
                <w:sz w:val="24"/>
                <w:szCs w:val="24"/>
                <w:lang w:val="it-IT"/>
              </w:rPr>
              <w:t>DI seguito sono riportati i quesiti posti dall’Autorità. Pe rispondere è necessario consultare il documento di consultazione completo.</w:t>
            </w:r>
          </w:p>
          <w:p w14:paraId="4D17B082" w14:textId="71B1EE88" w:rsidR="00390366" w:rsidRDefault="00390366" w:rsidP="00390366">
            <w:pPr>
              <w:jc w:val="center"/>
              <w:rPr>
                <w:rFonts w:ascii="Arial" w:hAnsi="Arial" w:cs="Arial"/>
                <w:b/>
                <w:bCs/>
                <w:i/>
                <w:iCs/>
                <w:sz w:val="24"/>
                <w:szCs w:val="24"/>
                <w:lang w:val="x-none"/>
              </w:rPr>
            </w:pPr>
            <w:r w:rsidRPr="00390366">
              <w:rPr>
                <w:rFonts w:ascii="Century Gothic" w:eastAsia="Calibri" w:hAnsi="Century Gothic" w:cs="Times New Roman"/>
                <w:color w:val="FF0000"/>
                <w:sz w:val="24"/>
                <w:szCs w:val="24"/>
                <w:lang w:val="it-IT"/>
              </w:rPr>
              <w:t xml:space="preserve">Considerate le tempistiche fornite da ARERA, </w:t>
            </w:r>
            <w:r w:rsidR="00377C8C">
              <w:rPr>
                <w:rFonts w:ascii="Century Gothic" w:eastAsia="Calibri" w:hAnsi="Century Gothic" w:cs="Times New Roman"/>
                <w:color w:val="FF0000"/>
                <w:sz w:val="24"/>
                <w:szCs w:val="24"/>
                <w:lang w:val="it-IT"/>
              </w:rPr>
              <w:t xml:space="preserve">anche per gli opportuni approfondimenti associativi, </w:t>
            </w:r>
            <w:r w:rsidRPr="00390366">
              <w:rPr>
                <w:rFonts w:ascii="Century Gothic" w:eastAsia="Calibri" w:hAnsi="Century Gothic" w:cs="Times New Roman"/>
                <w:color w:val="FF0000"/>
                <w:sz w:val="24"/>
                <w:szCs w:val="24"/>
                <w:lang w:val="it-IT"/>
              </w:rPr>
              <w:t xml:space="preserve">si prega di rispondere ai quesiti entro e non oltre il </w:t>
            </w:r>
            <w:r w:rsidRPr="00390366">
              <w:rPr>
                <w:rFonts w:ascii="Century Gothic" w:eastAsia="Calibri" w:hAnsi="Century Gothic" w:cs="Times New Roman"/>
                <w:b/>
                <w:bCs/>
                <w:color w:val="FF0000"/>
                <w:sz w:val="24"/>
                <w:szCs w:val="24"/>
                <w:u w:val="single"/>
                <w:lang w:val="it-IT"/>
              </w:rPr>
              <w:t>2</w:t>
            </w:r>
            <w:r w:rsidR="00377C8C">
              <w:rPr>
                <w:rFonts w:ascii="Century Gothic" w:eastAsia="Calibri" w:hAnsi="Century Gothic" w:cs="Times New Roman"/>
                <w:b/>
                <w:bCs/>
                <w:color w:val="FF0000"/>
                <w:sz w:val="24"/>
                <w:szCs w:val="24"/>
                <w:u w:val="single"/>
                <w:lang w:val="it-IT"/>
              </w:rPr>
              <w:t>5</w:t>
            </w:r>
            <w:r w:rsidRPr="00390366">
              <w:rPr>
                <w:rFonts w:ascii="Century Gothic" w:eastAsia="Calibri" w:hAnsi="Century Gothic" w:cs="Times New Roman"/>
                <w:b/>
                <w:bCs/>
                <w:color w:val="FF0000"/>
                <w:sz w:val="24"/>
                <w:szCs w:val="24"/>
                <w:u w:val="single"/>
                <w:lang w:val="it-IT"/>
              </w:rPr>
              <w:t xml:space="preserve"> ma</w:t>
            </w:r>
            <w:r w:rsidR="00377C8C">
              <w:rPr>
                <w:rFonts w:ascii="Century Gothic" w:eastAsia="Calibri" w:hAnsi="Century Gothic" w:cs="Times New Roman"/>
                <w:b/>
                <w:bCs/>
                <w:color w:val="FF0000"/>
                <w:sz w:val="24"/>
                <w:szCs w:val="24"/>
                <w:u w:val="single"/>
                <w:lang w:val="it-IT"/>
              </w:rPr>
              <w:t>ggio</w:t>
            </w:r>
            <w:r w:rsidRPr="00390366">
              <w:rPr>
                <w:rFonts w:ascii="Century Gothic" w:eastAsia="Calibri" w:hAnsi="Century Gothic" w:cs="Times New Roman"/>
                <w:b/>
                <w:bCs/>
                <w:color w:val="FF0000"/>
                <w:sz w:val="24"/>
                <w:szCs w:val="24"/>
                <w:u w:val="single"/>
                <w:lang w:val="it-IT"/>
              </w:rPr>
              <w:t xml:space="preserve"> 2021</w:t>
            </w:r>
            <w:r w:rsidRPr="00390366">
              <w:rPr>
                <w:rFonts w:ascii="Century Gothic" w:eastAsia="Calibri" w:hAnsi="Century Gothic" w:cs="Times New Roman"/>
                <w:color w:val="FF0000"/>
                <w:sz w:val="24"/>
                <w:szCs w:val="24"/>
                <w:lang w:val="it-IT"/>
              </w:rPr>
              <w:t xml:space="preserve"> completando il seguente format e inviandolo a </w:t>
            </w:r>
            <w:r w:rsidR="00B12A0E">
              <w:fldChar w:fldCharType="begin"/>
            </w:r>
            <w:r w:rsidR="00B12A0E" w:rsidRPr="00B12A0E">
              <w:rPr>
                <w:lang w:val="it-IT"/>
              </w:rPr>
              <w:instrText xml:space="preserve"> HYPERLINK "mailto:l.tosto@fise.org" </w:instrText>
            </w:r>
            <w:r w:rsidR="00B12A0E">
              <w:fldChar w:fldCharType="separate"/>
            </w:r>
            <w:r w:rsidRPr="00390366">
              <w:rPr>
                <w:rFonts w:ascii="Century Gothic" w:eastAsia="Calibri" w:hAnsi="Century Gothic" w:cs="Times New Roman"/>
                <w:color w:val="FF0000"/>
                <w:sz w:val="24"/>
                <w:szCs w:val="24"/>
                <w:u w:val="single"/>
                <w:lang w:val="it-IT"/>
              </w:rPr>
              <w:t>l.tosto@fise.org</w:t>
            </w:r>
            <w:r w:rsidR="00B12A0E">
              <w:rPr>
                <w:rFonts w:ascii="Century Gothic" w:eastAsia="Calibri" w:hAnsi="Century Gothic" w:cs="Times New Roman"/>
                <w:color w:val="FF0000"/>
                <w:sz w:val="24"/>
                <w:szCs w:val="24"/>
                <w:u w:val="single"/>
                <w:lang w:val="it-IT"/>
              </w:rPr>
              <w:fldChar w:fldCharType="end"/>
            </w:r>
          </w:p>
        </w:tc>
      </w:tr>
    </w:tbl>
    <w:p w14:paraId="0B0F5CE8" w14:textId="2226CAF5" w:rsidR="00390366" w:rsidRPr="00390366" w:rsidRDefault="00390366" w:rsidP="00390366">
      <w:pPr>
        <w:jc w:val="center"/>
        <w:rPr>
          <w:rFonts w:ascii="Arial" w:hAnsi="Arial" w:cs="Arial"/>
          <w:b/>
          <w:bCs/>
          <w:i/>
          <w:iCs/>
          <w:sz w:val="24"/>
          <w:szCs w:val="24"/>
          <w:lang w:val="it-IT"/>
        </w:rPr>
      </w:pPr>
      <w:r>
        <w:rPr>
          <w:rFonts w:ascii="Arial" w:hAnsi="Arial" w:cs="Arial"/>
          <w:b/>
          <w:bCs/>
          <w:i/>
          <w:iCs/>
          <w:sz w:val="24"/>
          <w:szCs w:val="24"/>
          <w:lang w:val="it-IT"/>
        </w:rPr>
        <w:t>***</w:t>
      </w:r>
    </w:p>
    <w:p w14:paraId="64603D8F" w14:textId="77777777" w:rsidR="00390366" w:rsidRDefault="00390366" w:rsidP="00390366">
      <w:pPr>
        <w:jc w:val="both"/>
        <w:rPr>
          <w:rFonts w:ascii="Arial" w:hAnsi="Arial" w:cs="Arial"/>
          <w:b/>
          <w:bCs/>
          <w:i/>
          <w:iCs/>
          <w:sz w:val="24"/>
          <w:szCs w:val="24"/>
          <w:lang w:val="it-IT"/>
        </w:rPr>
      </w:pPr>
    </w:p>
    <w:p w14:paraId="50F2EA44" w14:textId="57DB3FAE" w:rsidR="00477781" w:rsidRPr="001C2275" w:rsidRDefault="00377C8C" w:rsidP="00390366">
      <w:pPr>
        <w:jc w:val="both"/>
        <w:rPr>
          <w:rFonts w:ascii="Arial" w:hAnsi="Arial" w:cs="Arial"/>
          <w:b/>
          <w:bCs/>
          <w:i/>
          <w:iCs/>
          <w:color w:val="0070C0"/>
          <w:sz w:val="24"/>
          <w:szCs w:val="24"/>
          <w:lang w:val="it-IT"/>
        </w:rPr>
      </w:pPr>
      <w:r w:rsidRPr="001C2275">
        <w:rPr>
          <w:rFonts w:ascii="Arial" w:hAnsi="Arial" w:cs="Arial"/>
          <w:b/>
          <w:bCs/>
          <w:i/>
          <w:iCs/>
          <w:color w:val="0070C0"/>
          <w:sz w:val="24"/>
          <w:szCs w:val="24"/>
          <w:lang w:val="it-IT"/>
        </w:rPr>
        <w:t>Visione d’insieme</w:t>
      </w:r>
    </w:p>
    <w:tbl>
      <w:tblPr>
        <w:tblStyle w:val="Grigliatabella"/>
        <w:tblW w:w="0" w:type="auto"/>
        <w:tblLook w:val="04A0" w:firstRow="1" w:lastRow="0" w:firstColumn="1" w:lastColumn="0" w:noHBand="0" w:noVBand="1"/>
      </w:tblPr>
      <w:tblGrid>
        <w:gridCol w:w="9350"/>
      </w:tblGrid>
      <w:tr w:rsidR="00562B75" w:rsidRPr="00F10896" w14:paraId="068FB1B5" w14:textId="77777777" w:rsidTr="00562B75">
        <w:tc>
          <w:tcPr>
            <w:tcW w:w="9350" w:type="dxa"/>
          </w:tcPr>
          <w:p w14:paraId="573B345A" w14:textId="77777777" w:rsidR="00562B75" w:rsidRPr="00F10896" w:rsidRDefault="00377C8C" w:rsidP="00390366">
            <w:pPr>
              <w:jc w:val="both"/>
              <w:rPr>
                <w:rFonts w:ascii="Arial" w:hAnsi="Arial" w:cs="Arial"/>
                <w:b/>
                <w:bCs/>
                <w:i/>
                <w:iCs/>
                <w:sz w:val="24"/>
                <w:szCs w:val="24"/>
                <w:lang w:val="it-IT"/>
              </w:rPr>
            </w:pPr>
            <w:bookmarkStart w:id="0" w:name="_Hlk71798788"/>
            <w:r w:rsidRPr="00F10896">
              <w:rPr>
                <w:rFonts w:ascii="Arial" w:hAnsi="Arial" w:cs="Arial"/>
                <w:b/>
                <w:bCs/>
                <w:sz w:val="24"/>
                <w:szCs w:val="24"/>
                <w:lang w:val="it-IT"/>
              </w:rPr>
              <w:t xml:space="preserve">Q1. </w:t>
            </w:r>
            <w:r w:rsidRPr="00F10896">
              <w:rPr>
                <w:rFonts w:ascii="Arial" w:hAnsi="Arial" w:cs="Arial"/>
                <w:b/>
                <w:bCs/>
                <w:i/>
                <w:iCs/>
                <w:sz w:val="24"/>
                <w:szCs w:val="24"/>
                <w:lang w:val="it-IT"/>
              </w:rPr>
              <w:t>Si ritengono esaustive, seppure nella loro schematicità, le considerazioni riportate in ordine agli obiettivi dell’azione regolatoria, anche alla luce delle rappresentate criticità riscontrate con riferimento al primo periodo di regolazione? Motivare la risposta.</w:t>
            </w:r>
          </w:p>
          <w:p w14:paraId="7F23415E" w14:textId="3810FEB6" w:rsidR="00377C8C" w:rsidRPr="00F10896" w:rsidRDefault="00377C8C" w:rsidP="00390366">
            <w:pPr>
              <w:jc w:val="both"/>
              <w:rPr>
                <w:rFonts w:ascii="Arial" w:hAnsi="Arial" w:cs="Arial"/>
                <w:b/>
                <w:bCs/>
                <w:sz w:val="24"/>
                <w:szCs w:val="24"/>
                <w:lang w:val="it-IT"/>
              </w:rPr>
            </w:pPr>
            <w:r w:rsidRPr="00F10896">
              <w:rPr>
                <w:rFonts w:ascii="Arial" w:hAnsi="Arial" w:cs="Arial"/>
                <w:b/>
                <w:bCs/>
                <w:i/>
                <w:iCs/>
                <w:sz w:val="24"/>
                <w:szCs w:val="24"/>
                <w:lang w:val="it-IT"/>
              </w:rPr>
              <w:t>…</w:t>
            </w:r>
          </w:p>
        </w:tc>
      </w:tr>
      <w:bookmarkEnd w:id="0"/>
    </w:tbl>
    <w:p w14:paraId="3B9C9256" w14:textId="50754DD0" w:rsidR="00562B75" w:rsidRPr="00F10896" w:rsidRDefault="00562B75" w:rsidP="00390366">
      <w:pPr>
        <w:jc w:val="both"/>
        <w:rPr>
          <w:rFonts w:ascii="Arial" w:hAnsi="Arial" w:cs="Arial"/>
          <w:b/>
          <w:bCs/>
          <w:sz w:val="24"/>
          <w:szCs w:val="24"/>
          <w:lang w:val="it-IT"/>
        </w:rPr>
      </w:pPr>
    </w:p>
    <w:tbl>
      <w:tblPr>
        <w:tblStyle w:val="Grigliatabella"/>
        <w:tblW w:w="0" w:type="auto"/>
        <w:tblLook w:val="04A0" w:firstRow="1" w:lastRow="0" w:firstColumn="1" w:lastColumn="0" w:noHBand="0" w:noVBand="1"/>
      </w:tblPr>
      <w:tblGrid>
        <w:gridCol w:w="9350"/>
      </w:tblGrid>
      <w:tr w:rsidR="00377C8C" w:rsidRPr="00F10896" w14:paraId="318AA67E" w14:textId="77777777" w:rsidTr="00DB5ADE">
        <w:tc>
          <w:tcPr>
            <w:tcW w:w="9350" w:type="dxa"/>
          </w:tcPr>
          <w:p w14:paraId="78427551" w14:textId="009BE954" w:rsidR="00377C8C" w:rsidRPr="00F10896" w:rsidRDefault="00377C8C" w:rsidP="00377C8C">
            <w:pPr>
              <w:numPr>
                <w:ilvl w:val="0"/>
                <w:numId w:val="1"/>
              </w:numPr>
              <w:tabs>
                <w:tab w:val="clear" w:pos="864"/>
                <w:tab w:val="num" w:pos="454"/>
              </w:tabs>
              <w:ind w:left="29" w:firstLine="0"/>
              <w:jc w:val="both"/>
              <w:rPr>
                <w:rFonts w:ascii="Arial" w:hAnsi="Arial" w:cs="Arial"/>
                <w:b/>
                <w:bCs/>
                <w:i/>
                <w:iCs/>
                <w:sz w:val="24"/>
                <w:szCs w:val="24"/>
                <w:lang w:val="it-IT"/>
              </w:rPr>
            </w:pPr>
            <w:r w:rsidRPr="00377C8C">
              <w:rPr>
                <w:rFonts w:ascii="Arial" w:hAnsi="Arial" w:cs="Arial"/>
                <w:b/>
                <w:bCs/>
                <w:i/>
                <w:iCs/>
                <w:sz w:val="24"/>
                <w:szCs w:val="24"/>
                <w:lang w:val="it-IT"/>
              </w:rPr>
              <w:t>Si condivide la proposta di durata quadriennale per il secondo periodo regolatorio, considerando il medesimo periodo pluriennale quale orizzonte temporale di riferimento per lo sviluppo del piano economico finanziario? Motivare la risposta.</w:t>
            </w:r>
          </w:p>
          <w:p w14:paraId="7852FD3A" w14:textId="2C4BB39F" w:rsidR="00377C8C" w:rsidRDefault="00377C8C" w:rsidP="00377C8C">
            <w:pPr>
              <w:ind w:left="29"/>
              <w:jc w:val="both"/>
              <w:rPr>
                <w:rFonts w:ascii="Arial" w:hAnsi="Arial" w:cs="Arial"/>
                <w:b/>
                <w:bCs/>
                <w:i/>
                <w:iCs/>
                <w:sz w:val="24"/>
                <w:szCs w:val="24"/>
                <w:lang w:val="it-IT"/>
              </w:rPr>
            </w:pPr>
            <w:r w:rsidRPr="00F10896">
              <w:rPr>
                <w:rFonts w:ascii="Arial" w:hAnsi="Arial" w:cs="Arial"/>
                <w:b/>
                <w:bCs/>
                <w:i/>
                <w:iCs/>
                <w:sz w:val="24"/>
                <w:szCs w:val="24"/>
                <w:lang w:val="it-IT"/>
              </w:rPr>
              <w:t>…</w:t>
            </w:r>
          </w:p>
          <w:p w14:paraId="6F36968D" w14:textId="77777777" w:rsidR="00F10896" w:rsidRPr="00F10896" w:rsidRDefault="00F10896" w:rsidP="00377C8C">
            <w:pPr>
              <w:ind w:left="29"/>
              <w:jc w:val="both"/>
              <w:rPr>
                <w:rFonts w:ascii="Arial" w:hAnsi="Arial" w:cs="Arial"/>
                <w:b/>
                <w:bCs/>
                <w:i/>
                <w:iCs/>
                <w:sz w:val="24"/>
                <w:szCs w:val="24"/>
                <w:lang w:val="it-IT"/>
              </w:rPr>
            </w:pPr>
          </w:p>
          <w:p w14:paraId="14424AD6" w14:textId="3638EB39" w:rsidR="00377C8C" w:rsidRPr="00F10896" w:rsidRDefault="00377C8C" w:rsidP="00377C8C">
            <w:pPr>
              <w:numPr>
                <w:ilvl w:val="0"/>
                <w:numId w:val="1"/>
              </w:numPr>
              <w:tabs>
                <w:tab w:val="clear" w:pos="864"/>
                <w:tab w:val="num" w:pos="29"/>
                <w:tab w:val="num" w:pos="171"/>
                <w:tab w:val="num" w:pos="454"/>
              </w:tabs>
              <w:ind w:left="29" w:firstLine="0"/>
              <w:jc w:val="both"/>
              <w:rPr>
                <w:rFonts w:ascii="Arial" w:hAnsi="Arial" w:cs="Arial"/>
                <w:b/>
                <w:bCs/>
                <w:i/>
                <w:iCs/>
                <w:sz w:val="24"/>
                <w:szCs w:val="24"/>
                <w:lang w:val="it-IT"/>
              </w:rPr>
            </w:pPr>
            <w:r w:rsidRPr="00F10896">
              <w:rPr>
                <w:rFonts w:ascii="Arial" w:hAnsi="Arial" w:cs="Arial"/>
                <w:b/>
                <w:bCs/>
                <w:i/>
                <w:iCs/>
                <w:sz w:val="24"/>
                <w:szCs w:val="24"/>
                <w:lang w:val="it-IT"/>
              </w:rPr>
              <w:t>Si ritiene che vi possano essere specifici elementi da considerare ai fini dell’individuazione delle tempistiche per l’aggiornamento delle predisposizioni tariffarie? Motivare la risposta.</w:t>
            </w:r>
          </w:p>
          <w:p w14:paraId="40A4C139" w14:textId="1C3A9D7B" w:rsidR="00377C8C" w:rsidRDefault="00377C8C" w:rsidP="00377C8C">
            <w:pPr>
              <w:tabs>
                <w:tab w:val="num" w:pos="454"/>
                <w:tab w:val="num" w:pos="864"/>
              </w:tabs>
              <w:ind w:left="29"/>
              <w:jc w:val="both"/>
              <w:rPr>
                <w:rFonts w:ascii="Arial" w:hAnsi="Arial" w:cs="Arial"/>
                <w:b/>
                <w:bCs/>
                <w:i/>
                <w:iCs/>
                <w:sz w:val="24"/>
                <w:szCs w:val="24"/>
                <w:lang w:val="it-IT"/>
              </w:rPr>
            </w:pPr>
            <w:r w:rsidRPr="00F10896">
              <w:rPr>
                <w:rFonts w:ascii="Arial" w:hAnsi="Arial" w:cs="Arial"/>
                <w:b/>
                <w:bCs/>
                <w:i/>
                <w:iCs/>
                <w:sz w:val="24"/>
                <w:szCs w:val="24"/>
                <w:lang w:val="it-IT"/>
              </w:rPr>
              <w:t>...</w:t>
            </w:r>
          </w:p>
          <w:p w14:paraId="0FB82DB6" w14:textId="77777777" w:rsidR="00F10896" w:rsidRPr="00F10896" w:rsidRDefault="00F10896" w:rsidP="00377C8C">
            <w:pPr>
              <w:tabs>
                <w:tab w:val="num" w:pos="454"/>
                <w:tab w:val="num" w:pos="864"/>
              </w:tabs>
              <w:ind w:left="29"/>
              <w:jc w:val="both"/>
              <w:rPr>
                <w:rFonts w:ascii="Arial" w:hAnsi="Arial" w:cs="Arial"/>
                <w:b/>
                <w:bCs/>
                <w:i/>
                <w:iCs/>
                <w:sz w:val="24"/>
                <w:szCs w:val="24"/>
                <w:lang w:val="it-IT"/>
              </w:rPr>
            </w:pPr>
          </w:p>
          <w:p w14:paraId="0CE9C113" w14:textId="77777777" w:rsidR="00377C8C" w:rsidRPr="00F10896" w:rsidRDefault="00377C8C" w:rsidP="00377C8C">
            <w:pPr>
              <w:numPr>
                <w:ilvl w:val="0"/>
                <w:numId w:val="1"/>
              </w:numPr>
              <w:tabs>
                <w:tab w:val="clear" w:pos="864"/>
                <w:tab w:val="num" w:pos="29"/>
                <w:tab w:val="num" w:pos="171"/>
                <w:tab w:val="num" w:pos="454"/>
              </w:tabs>
              <w:ind w:left="29" w:firstLine="0"/>
              <w:jc w:val="both"/>
              <w:rPr>
                <w:rFonts w:ascii="Arial" w:hAnsi="Arial" w:cs="Arial"/>
                <w:b/>
                <w:bCs/>
                <w:i/>
                <w:iCs/>
                <w:sz w:val="24"/>
                <w:szCs w:val="24"/>
                <w:lang w:val="it-IT"/>
              </w:rPr>
            </w:pPr>
            <w:r w:rsidRPr="00F10896">
              <w:rPr>
                <w:rFonts w:ascii="Arial" w:hAnsi="Arial" w:cs="Arial"/>
                <w:b/>
                <w:bCs/>
                <w:i/>
                <w:iCs/>
                <w:sz w:val="24"/>
                <w:szCs w:val="24"/>
                <w:lang w:val="it-IT"/>
              </w:rPr>
              <w:t>Si ritiene condivisibile la proposta di prevedere eventuali revisioni infra periodo, al ricorrere di circostanze eccezionali e non prevedibili al momento di adozione delle determinazioni tariffarie di pertinenza? Motivare la risposta.</w:t>
            </w:r>
          </w:p>
          <w:p w14:paraId="068EDB95" w14:textId="2EE7A5A7" w:rsidR="00377C8C" w:rsidRPr="00F10896" w:rsidRDefault="00377C8C" w:rsidP="00377C8C">
            <w:pPr>
              <w:tabs>
                <w:tab w:val="num" w:pos="171"/>
                <w:tab w:val="num" w:pos="454"/>
              </w:tabs>
              <w:ind w:left="29"/>
              <w:jc w:val="both"/>
              <w:rPr>
                <w:rFonts w:ascii="Arial" w:hAnsi="Arial" w:cs="Arial"/>
                <w:b/>
                <w:bCs/>
                <w:i/>
                <w:iCs/>
                <w:sz w:val="24"/>
                <w:szCs w:val="24"/>
                <w:lang w:val="it-IT"/>
              </w:rPr>
            </w:pPr>
            <w:r w:rsidRPr="00F10896">
              <w:rPr>
                <w:rFonts w:ascii="Arial" w:hAnsi="Arial" w:cs="Arial"/>
                <w:b/>
                <w:bCs/>
                <w:i/>
                <w:iCs/>
                <w:sz w:val="24"/>
                <w:szCs w:val="24"/>
                <w:lang w:val="it-IT"/>
              </w:rPr>
              <w:t>…</w:t>
            </w:r>
          </w:p>
        </w:tc>
      </w:tr>
    </w:tbl>
    <w:p w14:paraId="3F36FE67" w14:textId="77777777" w:rsidR="00377C8C" w:rsidRDefault="00377C8C" w:rsidP="00390366">
      <w:pPr>
        <w:jc w:val="both"/>
        <w:rPr>
          <w:rFonts w:ascii="Arial" w:hAnsi="Arial" w:cs="Arial"/>
          <w:sz w:val="24"/>
          <w:szCs w:val="24"/>
          <w:lang w:val="it-IT"/>
        </w:rPr>
      </w:pPr>
    </w:p>
    <w:p w14:paraId="6A056085" w14:textId="4EABDBD1" w:rsidR="00562B75" w:rsidRPr="001C2275" w:rsidRDefault="00377C8C" w:rsidP="00390366">
      <w:pPr>
        <w:jc w:val="both"/>
        <w:rPr>
          <w:rFonts w:ascii="Arial" w:hAnsi="Arial" w:cs="Arial"/>
          <w:b/>
          <w:bCs/>
          <w:color w:val="0070C0"/>
          <w:sz w:val="24"/>
          <w:szCs w:val="24"/>
          <w:lang w:val="it-IT"/>
        </w:rPr>
      </w:pPr>
      <w:r w:rsidRPr="001C2275">
        <w:rPr>
          <w:rFonts w:ascii="Arial" w:hAnsi="Arial" w:cs="Arial"/>
          <w:b/>
          <w:bCs/>
          <w:color w:val="0070C0"/>
          <w:sz w:val="24"/>
          <w:szCs w:val="24"/>
          <w:lang w:val="it-IT"/>
        </w:rPr>
        <w:t>Contesto di riferimento per la definizione delle tariffe di accesso agli impianti di trattamento</w:t>
      </w:r>
    </w:p>
    <w:tbl>
      <w:tblPr>
        <w:tblStyle w:val="Grigliatabella"/>
        <w:tblW w:w="0" w:type="auto"/>
        <w:tblLook w:val="04A0" w:firstRow="1" w:lastRow="0" w:firstColumn="1" w:lastColumn="0" w:noHBand="0" w:noVBand="1"/>
      </w:tblPr>
      <w:tblGrid>
        <w:gridCol w:w="9350"/>
      </w:tblGrid>
      <w:tr w:rsidR="00562B75" w:rsidRPr="00377C8C" w14:paraId="3FF25C87" w14:textId="77777777" w:rsidTr="00562B75">
        <w:tc>
          <w:tcPr>
            <w:tcW w:w="9350" w:type="dxa"/>
          </w:tcPr>
          <w:p w14:paraId="61FB0676" w14:textId="77777777" w:rsidR="00562B75" w:rsidRDefault="00377C8C" w:rsidP="00390366">
            <w:pPr>
              <w:jc w:val="both"/>
              <w:rPr>
                <w:rFonts w:ascii="Arial" w:hAnsi="Arial" w:cs="Arial"/>
                <w:b/>
                <w:bCs/>
                <w:i/>
                <w:iCs/>
                <w:sz w:val="24"/>
                <w:szCs w:val="24"/>
                <w:lang w:val="it-IT"/>
              </w:rPr>
            </w:pPr>
            <w:bookmarkStart w:id="1" w:name="_Hlk71799048"/>
            <w:r>
              <w:rPr>
                <w:rFonts w:ascii="Arial" w:hAnsi="Arial" w:cs="Arial"/>
                <w:b/>
                <w:bCs/>
                <w:i/>
                <w:iCs/>
                <w:sz w:val="24"/>
                <w:szCs w:val="24"/>
                <w:lang w:val="it-IT"/>
              </w:rPr>
              <w:t xml:space="preserve">Q5. </w:t>
            </w:r>
            <w:r w:rsidRPr="00377C8C">
              <w:rPr>
                <w:rFonts w:ascii="Arial" w:hAnsi="Arial" w:cs="Arial"/>
                <w:b/>
                <w:bCs/>
                <w:i/>
                <w:iCs/>
                <w:sz w:val="24"/>
                <w:szCs w:val="24"/>
                <w:lang w:val="it-IT"/>
              </w:rPr>
              <w:t>Si ravvisano ulteriori elementi rilevanti e/o ulteriori criticità in merito alla dotazione impiantistica e alla stima del relativo fabbisogno di trattamento dei rifiuti indifferenziati? Motivare la risposta.</w:t>
            </w:r>
          </w:p>
          <w:p w14:paraId="52DB3E50" w14:textId="6CF7E3B4" w:rsidR="00377C8C" w:rsidRPr="00390366" w:rsidRDefault="00377C8C" w:rsidP="00390366">
            <w:pPr>
              <w:jc w:val="both"/>
              <w:rPr>
                <w:rFonts w:ascii="Arial" w:hAnsi="Arial" w:cs="Arial"/>
                <w:sz w:val="24"/>
                <w:szCs w:val="24"/>
                <w:lang w:val="it-IT"/>
              </w:rPr>
            </w:pPr>
            <w:r>
              <w:rPr>
                <w:rFonts w:ascii="Arial" w:hAnsi="Arial" w:cs="Arial"/>
                <w:b/>
                <w:bCs/>
                <w:i/>
                <w:iCs/>
                <w:sz w:val="24"/>
                <w:szCs w:val="24"/>
                <w:lang w:val="it-IT"/>
              </w:rPr>
              <w:t>…</w:t>
            </w:r>
          </w:p>
        </w:tc>
      </w:tr>
      <w:bookmarkEnd w:id="1"/>
    </w:tbl>
    <w:p w14:paraId="73AAFE3E" w14:textId="77EF244A" w:rsidR="00562B75" w:rsidRDefault="00562B75" w:rsidP="00390366">
      <w:pPr>
        <w:jc w:val="both"/>
        <w:rPr>
          <w:rFonts w:ascii="Arial" w:hAnsi="Arial" w:cs="Arial"/>
          <w:sz w:val="24"/>
          <w:szCs w:val="24"/>
          <w:lang w:val="it-IT"/>
        </w:rPr>
      </w:pPr>
    </w:p>
    <w:tbl>
      <w:tblPr>
        <w:tblStyle w:val="Grigliatabella"/>
        <w:tblW w:w="0" w:type="auto"/>
        <w:tblLook w:val="04A0" w:firstRow="1" w:lastRow="0" w:firstColumn="1" w:lastColumn="0" w:noHBand="0" w:noVBand="1"/>
      </w:tblPr>
      <w:tblGrid>
        <w:gridCol w:w="9350"/>
      </w:tblGrid>
      <w:tr w:rsidR="00377C8C" w:rsidRPr="00377C8C" w14:paraId="27413A78" w14:textId="77777777" w:rsidTr="00DB5ADE">
        <w:tc>
          <w:tcPr>
            <w:tcW w:w="9350" w:type="dxa"/>
          </w:tcPr>
          <w:p w14:paraId="160D3FCD" w14:textId="6BE4EBD5" w:rsidR="00377C8C" w:rsidRPr="00377C8C" w:rsidRDefault="00377C8C" w:rsidP="00377C8C">
            <w:pPr>
              <w:jc w:val="both"/>
              <w:rPr>
                <w:rFonts w:ascii="Arial" w:hAnsi="Arial" w:cs="Arial"/>
                <w:b/>
                <w:bCs/>
                <w:sz w:val="24"/>
                <w:szCs w:val="24"/>
                <w:lang w:val="it-IT"/>
              </w:rPr>
            </w:pPr>
            <w:bookmarkStart w:id="2" w:name="_Hlk71799103"/>
            <w:r w:rsidRPr="00377C8C">
              <w:rPr>
                <w:rFonts w:ascii="Arial" w:hAnsi="Arial" w:cs="Arial"/>
                <w:b/>
                <w:bCs/>
                <w:i/>
                <w:iCs/>
                <w:color w:val="000000"/>
                <w:sz w:val="24"/>
                <w:szCs w:val="24"/>
                <w:lang w:val="it-IT"/>
              </w:rPr>
              <w:t>Q6. Si ravvisano ulteriori elementi rilevanti e/o ulteriori criticità in merito alla dotazione impiantistica e alla stima del relativo fabbisogno di trattamento della frazione organica, anche ai fini della valutazione dei possibili strumenti di regolazione tariffaria? Motivare la risposta.</w:t>
            </w:r>
          </w:p>
          <w:p w14:paraId="76E1CB41" w14:textId="77777777" w:rsidR="00377C8C" w:rsidRPr="00377C8C" w:rsidRDefault="00377C8C" w:rsidP="00DB5ADE">
            <w:pPr>
              <w:jc w:val="both"/>
              <w:rPr>
                <w:rFonts w:ascii="Arial" w:hAnsi="Arial" w:cs="Arial"/>
                <w:b/>
                <w:bCs/>
                <w:i/>
                <w:iCs/>
                <w:sz w:val="24"/>
                <w:szCs w:val="24"/>
                <w:lang w:val="it-IT"/>
              </w:rPr>
            </w:pPr>
            <w:r w:rsidRPr="00377C8C">
              <w:rPr>
                <w:rFonts w:ascii="Arial" w:hAnsi="Arial" w:cs="Arial"/>
                <w:b/>
                <w:bCs/>
                <w:i/>
                <w:iCs/>
                <w:sz w:val="24"/>
                <w:szCs w:val="24"/>
                <w:lang w:val="it-IT"/>
              </w:rPr>
              <w:t>…</w:t>
            </w:r>
          </w:p>
          <w:p w14:paraId="146CA6A1" w14:textId="414CE650" w:rsidR="00377C8C" w:rsidRPr="00390366" w:rsidRDefault="00377C8C" w:rsidP="00DB5ADE">
            <w:pPr>
              <w:jc w:val="both"/>
              <w:rPr>
                <w:rFonts w:ascii="Arial" w:hAnsi="Arial" w:cs="Arial"/>
                <w:sz w:val="24"/>
                <w:szCs w:val="24"/>
                <w:lang w:val="it-IT"/>
              </w:rPr>
            </w:pPr>
          </w:p>
        </w:tc>
      </w:tr>
      <w:bookmarkEnd w:id="2"/>
    </w:tbl>
    <w:p w14:paraId="2C502A7D" w14:textId="090DADD1" w:rsidR="00377C8C" w:rsidRDefault="00377C8C" w:rsidP="00390366">
      <w:pPr>
        <w:jc w:val="both"/>
        <w:rPr>
          <w:rFonts w:ascii="Arial" w:hAnsi="Arial" w:cs="Arial"/>
          <w:sz w:val="24"/>
          <w:szCs w:val="24"/>
          <w:lang w:val="it-IT"/>
        </w:rPr>
      </w:pPr>
    </w:p>
    <w:tbl>
      <w:tblPr>
        <w:tblStyle w:val="Grigliatabella"/>
        <w:tblW w:w="0" w:type="auto"/>
        <w:tblLook w:val="04A0" w:firstRow="1" w:lastRow="0" w:firstColumn="1" w:lastColumn="0" w:noHBand="0" w:noVBand="1"/>
      </w:tblPr>
      <w:tblGrid>
        <w:gridCol w:w="9350"/>
      </w:tblGrid>
      <w:tr w:rsidR="00377C8C" w:rsidRPr="00377C8C" w14:paraId="6768FA08" w14:textId="77777777" w:rsidTr="00DB5ADE">
        <w:tc>
          <w:tcPr>
            <w:tcW w:w="9350" w:type="dxa"/>
          </w:tcPr>
          <w:p w14:paraId="47D2A88F" w14:textId="77777777" w:rsidR="00377C8C" w:rsidRDefault="00377C8C" w:rsidP="00DB5ADE">
            <w:pPr>
              <w:jc w:val="both"/>
              <w:rPr>
                <w:rFonts w:ascii="Arial" w:hAnsi="Arial" w:cs="Arial"/>
                <w:b/>
                <w:bCs/>
                <w:i/>
                <w:iCs/>
                <w:sz w:val="24"/>
                <w:szCs w:val="24"/>
                <w:lang w:val="it-IT"/>
              </w:rPr>
            </w:pPr>
            <w:bookmarkStart w:id="3" w:name="_Hlk71799151"/>
            <w:r>
              <w:rPr>
                <w:rFonts w:ascii="Arial" w:hAnsi="Arial" w:cs="Arial"/>
                <w:b/>
                <w:bCs/>
                <w:i/>
                <w:iCs/>
                <w:sz w:val="24"/>
                <w:szCs w:val="24"/>
                <w:lang w:val="it-IT"/>
              </w:rPr>
              <w:t xml:space="preserve">Q7. </w:t>
            </w:r>
            <w:r w:rsidRPr="00377C8C">
              <w:rPr>
                <w:rFonts w:ascii="Arial" w:hAnsi="Arial" w:cs="Arial"/>
                <w:b/>
                <w:bCs/>
                <w:i/>
                <w:iCs/>
                <w:sz w:val="24"/>
                <w:szCs w:val="24"/>
                <w:lang w:val="it-IT"/>
              </w:rPr>
              <w:t>Si ritiene esaustiva, seppure nella sua schematicità, la rappresentazione di filiera interconnessa presentata, alla luce delle performance attuali e dei target europei che caratterizzano il settore dei rifiuti? Motivare la risposta.</w:t>
            </w:r>
          </w:p>
          <w:p w14:paraId="226DBFEF" w14:textId="497412CB" w:rsidR="00377C8C" w:rsidRPr="00390366" w:rsidRDefault="00377C8C" w:rsidP="00DB5ADE">
            <w:pPr>
              <w:jc w:val="both"/>
              <w:rPr>
                <w:rFonts w:ascii="Arial" w:hAnsi="Arial" w:cs="Arial"/>
                <w:sz w:val="24"/>
                <w:szCs w:val="24"/>
                <w:lang w:val="it-IT"/>
              </w:rPr>
            </w:pPr>
            <w:r>
              <w:rPr>
                <w:rFonts w:ascii="Arial" w:hAnsi="Arial" w:cs="Arial"/>
                <w:sz w:val="24"/>
                <w:szCs w:val="24"/>
                <w:lang w:val="it-IT"/>
              </w:rPr>
              <w:t>…</w:t>
            </w:r>
          </w:p>
        </w:tc>
      </w:tr>
      <w:bookmarkEnd w:id="3"/>
    </w:tbl>
    <w:p w14:paraId="6CD1DD5A" w14:textId="2C656663" w:rsidR="00377C8C" w:rsidRDefault="00377C8C" w:rsidP="00390366">
      <w:pPr>
        <w:jc w:val="both"/>
        <w:rPr>
          <w:rFonts w:ascii="Arial" w:hAnsi="Arial" w:cs="Arial"/>
          <w:sz w:val="24"/>
          <w:szCs w:val="24"/>
          <w:lang w:val="it-IT"/>
        </w:rPr>
      </w:pPr>
    </w:p>
    <w:tbl>
      <w:tblPr>
        <w:tblStyle w:val="Grigliatabella"/>
        <w:tblW w:w="0" w:type="auto"/>
        <w:tblLook w:val="04A0" w:firstRow="1" w:lastRow="0" w:firstColumn="1" w:lastColumn="0" w:noHBand="0" w:noVBand="1"/>
      </w:tblPr>
      <w:tblGrid>
        <w:gridCol w:w="9350"/>
      </w:tblGrid>
      <w:tr w:rsidR="00377C8C" w:rsidRPr="00377C8C" w14:paraId="1D998686" w14:textId="77777777" w:rsidTr="00DB5ADE">
        <w:tc>
          <w:tcPr>
            <w:tcW w:w="9350" w:type="dxa"/>
          </w:tcPr>
          <w:p w14:paraId="3CDEB483" w14:textId="025C3AE2" w:rsidR="001C2275" w:rsidRDefault="001C2275" w:rsidP="001C2275">
            <w:pPr>
              <w:jc w:val="both"/>
              <w:rPr>
                <w:rFonts w:ascii="Arial" w:hAnsi="Arial" w:cs="Arial"/>
                <w:b/>
                <w:bCs/>
                <w:i/>
                <w:iCs/>
                <w:sz w:val="24"/>
                <w:szCs w:val="24"/>
                <w:lang w:val="it-IT"/>
              </w:rPr>
            </w:pPr>
            <w:bookmarkStart w:id="4" w:name="_Hlk71799251"/>
            <w:r>
              <w:rPr>
                <w:rFonts w:ascii="Arial" w:hAnsi="Arial" w:cs="Arial"/>
                <w:b/>
                <w:bCs/>
                <w:i/>
                <w:iCs/>
                <w:sz w:val="24"/>
                <w:szCs w:val="24"/>
                <w:lang w:val="it-IT"/>
              </w:rPr>
              <w:t xml:space="preserve">Q8. </w:t>
            </w:r>
            <w:r w:rsidRPr="001C2275">
              <w:rPr>
                <w:rFonts w:ascii="Arial" w:hAnsi="Arial" w:cs="Arial"/>
                <w:b/>
                <w:bCs/>
                <w:i/>
                <w:iCs/>
                <w:sz w:val="24"/>
                <w:szCs w:val="24"/>
                <w:lang w:val="it-IT"/>
              </w:rPr>
              <w:t>Si ritiene vi siano ulteriori elementi di cui l’Autorità debba tener conto ai fini dell’individuazione del perimetro della regolazione per l’accesso agli impianti di trattamento? Motivare la risposta.</w:t>
            </w:r>
          </w:p>
          <w:p w14:paraId="180B033B" w14:textId="27BE512C" w:rsidR="001C2275" w:rsidRDefault="001C2275" w:rsidP="001C2275">
            <w:pPr>
              <w:jc w:val="both"/>
              <w:rPr>
                <w:rFonts w:ascii="Arial" w:hAnsi="Arial" w:cs="Arial"/>
                <w:b/>
                <w:bCs/>
                <w:i/>
                <w:iCs/>
                <w:sz w:val="24"/>
                <w:szCs w:val="24"/>
                <w:lang w:val="it-IT"/>
              </w:rPr>
            </w:pPr>
            <w:r>
              <w:rPr>
                <w:rFonts w:ascii="Arial" w:hAnsi="Arial" w:cs="Arial"/>
                <w:b/>
                <w:bCs/>
                <w:i/>
                <w:iCs/>
                <w:sz w:val="24"/>
                <w:szCs w:val="24"/>
                <w:lang w:val="it-IT"/>
              </w:rPr>
              <w:t>…</w:t>
            </w:r>
          </w:p>
          <w:p w14:paraId="4B3CC559" w14:textId="77777777" w:rsidR="00F10896" w:rsidRPr="001C2275" w:rsidRDefault="00F10896" w:rsidP="001C2275">
            <w:pPr>
              <w:jc w:val="both"/>
              <w:rPr>
                <w:rFonts w:ascii="Arial" w:hAnsi="Arial" w:cs="Arial"/>
                <w:b/>
                <w:bCs/>
                <w:i/>
                <w:iCs/>
                <w:sz w:val="24"/>
                <w:szCs w:val="24"/>
                <w:lang w:val="it-IT"/>
              </w:rPr>
            </w:pPr>
          </w:p>
          <w:p w14:paraId="3C252756" w14:textId="419BA2EA" w:rsidR="00377C8C" w:rsidRDefault="001C2275" w:rsidP="001C2275">
            <w:pPr>
              <w:jc w:val="both"/>
              <w:rPr>
                <w:rFonts w:ascii="Arial" w:hAnsi="Arial" w:cs="Arial"/>
                <w:b/>
                <w:bCs/>
                <w:i/>
                <w:iCs/>
                <w:sz w:val="24"/>
                <w:szCs w:val="24"/>
                <w:lang w:val="it-IT"/>
              </w:rPr>
            </w:pPr>
            <w:r>
              <w:rPr>
                <w:rFonts w:ascii="Arial" w:hAnsi="Arial" w:cs="Arial"/>
                <w:b/>
                <w:bCs/>
                <w:i/>
                <w:iCs/>
                <w:sz w:val="24"/>
                <w:szCs w:val="24"/>
                <w:lang w:val="it-IT"/>
              </w:rPr>
              <w:t xml:space="preserve">Q9. </w:t>
            </w:r>
            <w:r w:rsidRPr="001C2275">
              <w:rPr>
                <w:rFonts w:ascii="Arial" w:hAnsi="Arial" w:cs="Arial"/>
                <w:b/>
                <w:bCs/>
                <w:i/>
                <w:iCs/>
                <w:sz w:val="24"/>
                <w:szCs w:val="24"/>
                <w:lang w:val="it-IT"/>
              </w:rPr>
              <w:t>Si ritiene esaustiva la rappresentazione dei principi e delle finalità di riferimento dell’intervento regolatorio? Motivare la risposta.</w:t>
            </w:r>
          </w:p>
          <w:p w14:paraId="4B79E02A" w14:textId="614E550C" w:rsidR="001C2275" w:rsidRPr="00390366" w:rsidRDefault="001C2275" w:rsidP="001C2275">
            <w:pPr>
              <w:jc w:val="both"/>
              <w:rPr>
                <w:rFonts w:ascii="Arial" w:hAnsi="Arial" w:cs="Arial"/>
                <w:sz w:val="24"/>
                <w:szCs w:val="24"/>
                <w:lang w:val="it-IT"/>
              </w:rPr>
            </w:pPr>
            <w:r>
              <w:rPr>
                <w:rFonts w:ascii="Arial" w:hAnsi="Arial" w:cs="Arial"/>
                <w:b/>
                <w:bCs/>
                <w:i/>
                <w:iCs/>
                <w:sz w:val="24"/>
                <w:szCs w:val="24"/>
                <w:lang w:val="it-IT"/>
              </w:rPr>
              <w:t>…</w:t>
            </w:r>
          </w:p>
        </w:tc>
      </w:tr>
      <w:bookmarkEnd w:id="4"/>
    </w:tbl>
    <w:p w14:paraId="4915B03E" w14:textId="77777777" w:rsidR="00377C8C" w:rsidRDefault="00377C8C" w:rsidP="00390366">
      <w:pPr>
        <w:jc w:val="both"/>
        <w:rPr>
          <w:rFonts w:ascii="Arial" w:hAnsi="Arial" w:cs="Arial"/>
          <w:sz w:val="24"/>
          <w:szCs w:val="24"/>
          <w:lang w:val="it-IT"/>
        </w:rPr>
      </w:pPr>
    </w:p>
    <w:p w14:paraId="442188BF" w14:textId="7DD7AB2C" w:rsidR="00377C8C" w:rsidRPr="001C2275" w:rsidRDefault="001C2275" w:rsidP="00390366">
      <w:pPr>
        <w:jc w:val="both"/>
        <w:rPr>
          <w:rFonts w:ascii="Arial" w:hAnsi="Arial" w:cs="Arial"/>
          <w:color w:val="0070C0"/>
          <w:sz w:val="24"/>
          <w:szCs w:val="24"/>
          <w:lang w:val="it-IT"/>
        </w:rPr>
      </w:pPr>
      <w:r w:rsidRPr="001C2275">
        <w:rPr>
          <w:rFonts w:ascii="Arial" w:hAnsi="Arial" w:cs="Arial"/>
          <w:b/>
          <w:bCs/>
          <w:color w:val="0070C0"/>
          <w:sz w:val="24"/>
          <w:szCs w:val="24"/>
          <w:lang w:val="it-IT"/>
        </w:rPr>
        <w:t>Opzioni per la regolazione degli impianti di trattamento</w:t>
      </w:r>
    </w:p>
    <w:tbl>
      <w:tblPr>
        <w:tblStyle w:val="Grigliatabella"/>
        <w:tblW w:w="0" w:type="auto"/>
        <w:tblLook w:val="04A0" w:firstRow="1" w:lastRow="0" w:firstColumn="1" w:lastColumn="0" w:noHBand="0" w:noVBand="1"/>
      </w:tblPr>
      <w:tblGrid>
        <w:gridCol w:w="9350"/>
      </w:tblGrid>
      <w:tr w:rsidR="001C2275" w:rsidRPr="00390366" w14:paraId="73A48642" w14:textId="77777777" w:rsidTr="00DB5ADE">
        <w:tc>
          <w:tcPr>
            <w:tcW w:w="9350" w:type="dxa"/>
          </w:tcPr>
          <w:p w14:paraId="5AE338D7" w14:textId="77777777" w:rsidR="001C2275" w:rsidRDefault="001C2275" w:rsidP="00DB5ADE">
            <w:pPr>
              <w:jc w:val="both"/>
              <w:rPr>
                <w:rFonts w:ascii="Arial" w:hAnsi="Arial" w:cs="Arial"/>
                <w:b/>
                <w:bCs/>
                <w:i/>
                <w:iCs/>
                <w:sz w:val="24"/>
                <w:szCs w:val="24"/>
                <w:lang w:val="it-IT"/>
              </w:rPr>
            </w:pPr>
            <w:bookmarkStart w:id="5" w:name="_Hlk71799453"/>
          </w:p>
          <w:p w14:paraId="0B1652E9" w14:textId="728BF4F7" w:rsidR="001C2275" w:rsidRDefault="001C2275" w:rsidP="001C2275">
            <w:pPr>
              <w:jc w:val="both"/>
              <w:rPr>
                <w:rFonts w:ascii="Arial" w:hAnsi="Arial" w:cs="Arial"/>
                <w:b/>
                <w:bCs/>
                <w:i/>
                <w:iCs/>
                <w:sz w:val="24"/>
                <w:szCs w:val="24"/>
                <w:lang w:val="it-IT"/>
              </w:rPr>
            </w:pPr>
            <w:r w:rsidRPr="001C2275">
              <w:rPr>
                <w:rFonts w:ascii="Arial" w:hAnsi="Arial" w:cs="Arial"/>
                <w:b/>
                <w:bCs/>
                <w:i/>
                <w:iCs/>
                <w:sz w:val="24"/>
                <w:szCs w:val="24"/>
                <w:lang w:val="it-IT"/>
              </w:rPr>
              <w:t>Q10.</w:t>
            </w:r>
            <w:r w:rsidRPr="001C2275">
              <w:rPr>
                <w:rFonts w:ascii="Arial" w:hAnsi="Arial" w:cs="Arial"/>
                <w:b/>
                <w:bCs/>
                <w:i/>
                <w:iCs/>
                <w:sz w:val="24"/>
                <w:szCs w:val="24"/>
                <w:lang w:val="it-IT"/>
              </w:rPr>
              <w:tab/>
              <w:t>Si condividono le determinanti (segnatamente: grado di integrazione del soggetto incaricato della gestione, caratteristiche degli impianti alla luce della gerarchia fissata dalla normativa e valutazione del livello di efficacia dell’eventuale presenza di pressione competitiva) sulla base delle quali declinare l’intervento regolatorio in materia di fissazione dei criteri per la definizione delle tariffe di accesso agli impianti di trattamento? Motivare la risposta.</w:t>
            </w:r>
          </w:p>
          <w:p w14:paraId="7E41AC6D" w14:textId="756BC24B" w:rsidR="001C2275" w:rsidRDefault="001C2275" w:rsidP="001C2275">
            <w:pPr>
              <w:jc w:val="both"/>
              <w:rPr>
                <w:rFonts w:ascii="Arial" w:hAnsi="Arial" w:cs="Arial"/>
                <w:b/>
                <w:bCs/>
                <w:i/>
                <w:iCs/>
                <w:sz w:val="24"/>
                <w:szCs w:val="24"/>
                <w:lang w:val="it-IT"/>
              </w:rPr>
            </w:pPr>
            <w:r>
              <w:rPr>
                <w:rFonts w:ascii="Arial" w:hAnsi="Arial" w:cs="Arial"/>
                <w:b/>
                <w:bCs/>
                <w:i/>
                <w:iCs/>
                <w:sz w:val="24"/>
                <w:szCs w:val="24"/>
                <w:lang w:val="it-IT"/>
              </w:rPr>
              <w:t>…</w:t>
            </w:r>
          </w:p>
          <w:p w14:paraId="4209A4B7" w14:textId="77777777" w:rsidR="00F10896" w:rsidRPr="001C2275" w:rsidRDefault="00F10896" w:rsidP="001C2275">
            <w:pPr>
              <w:jc w:val="both"/>
              <w:rPr>
                <w:rFonts w:ascii="Arial" w:hAnsi="Arial" w:cs="Arial"/>
                <w:b/>
                <w:bCs/>
                <w:i/>
                <w:iCs/>
                <w:sz w:val="24"/>
                <w:szCs w:val="24"/>
                <w:lang w:val="it-IT"/>
              </w:rPr>
            </w:pPr>
          </w:p>
          <w:p w14:paraId="727769B1" w14:textId="33C0A213" w:rsidR="001C2275" w:rsidRDefault="001C2275" w:rsidP="001C2275">
            <w:pPr>
              <w:jc w:val="both"/>
              <w:rPr>
                <w:rFonts w:ascii="Arial" w:hAnsi="Arial" w:cs="Arial"/>
                <w:b/>
                <w:bCs/>
                <w:i/>
                <w:iCs/>
                <w:sz w:val="24"/>
                <w:szCs w:val="24"/>
                <w:lang w:val="it-IT"/>
              </w:rPr>
            </w:pPr>
            <w:r w:rsidRPr="001C2275">
              <w:rPr>
                <w:rFonts w:ascii="Arial" w:hAnsi="Arial" w:cs="Arial"/>
                <w:b/>
                <w:bCs/>
                <w:i/>
                <w:iCs/>
                <w:sz w:val="24"/>
                <w:szCs w:val="24"/>
                <w:lang w:val="it-IT"/>
              </w:rPr>
              <w:t>Q11.</w:t>
            </w:r>
            <w:r w:rsidRPr="001C2275">
              <w:rPr>
                <w:rFonts w:ascii="Arial" w:hAnsi="Arial" w:cs="Arial"/>
                <w:b/>
                <w:bCs/>
                <w:i/>
                <w:iCs/>
                <w:sz w:val="24"/>
                <w:szCs w:val="24"/>
                <w:lang w:val="it-IT"/>
              </w:rPr>
              <w:tab/>
              <w:t>Nei casi di gestore integrato, si ritiene condivisibile l’orientamento di adottare una regolazione tariffaria tout court, prevedendo anche forme di incentivazione (tramite un meccanismo perequativo) in funzione della gerarchia stabilita per la gestione dei rifiuti? Motivare la risposta.</w:t>
            </w:r>
          </w:p>
          <w:p w14:paraId="00168939" w14:textId="0700E8DC" w:rsidR="001C2275" w:rsidRDefault="001C2275" w:rsidP="001C2275">
            <w:pPr>
              <w:jc w:val="both"/>
              <w:rPr>
                <w:rFonts w:ascii="Arial" w:hAnsi="Arial" w:cs="Arial"/>
                <w:b/>
                <w:bCs/>
                <w:i/>
                <w:iCs/>
                <w:sz w:val="24"/>
                <w:szCs w:val="24"/>
                <w:lang w:val="it-IT"/>
              </w:rPr>
            </w:pPr>
            <w:r>
              <w:rPr>
                <w:rFonts w:ascii="Arial" w:hAnsi="Arial" w:cs="Arial"/>
                <w:b/>
                <w:bCs/>
                <w:i/>
                <w:iCs/>
                <w:sz w:val="24"/>
                <w:szCs w:val="24"/>
                <w:lang w:val="it-IT"/>
              </w:rPr>
              <w:t>…</w:t>
            </w:r>
          </w:p>
          <w:p w14:paraId="48F1F45F" w14:textId="77777777" w:rsidR="00F10896" w:rsidRPr="001C2275" w:rsidRDefault="00F10896" w:rsidP="001C2275">
            <w:pPr>
              <w:jc w:val="both"/>
              <w:rPr>
                <w:rFonts w:ascii="Arial" w:hAnsi="Arial" w:cs="Arial"/>
                <w:b/>
                <w:bCs/>
                <w:i/>
                <w:iCs/>
                <w:sz w:val="24"/>
                <w:szCs w:val="24"/>
                <w:lang w:val="it-IT"/>
              </w:rPr>
            </w:pPr>
          </w:p>
          <w:p w14:paraId="6A1E9C37" w14:textId="19F26781" w:rsidR="001C2275" w:rsidRDefault="001C2275" w:rsidP="001C2275">
            <w:pPr>
              <w:jc w:val="both"/>
              <w:rPr>
                <w:rFonts w:ascii="Arial" w:hAnsi="Arial" w:cs="Arial"/>
                <w:b/>
                <w:bCs/>
                <w:i/>
                <w:iCs/>
                <w:sz w:val="24"/>
                <w:szCs w:val="24"/>
                <w:lang w:val="it-IT"/>
              </w:rPr>
            </w:pPr>
            <w:r w:rsidRPr="001C2275">
              <w:rPr>
                <w:rFonts w:ascii="Arial" w:hAnsi="Arial" w:cs="Arial"/>
                <w:b/>
                <w:bCs/>
                <w:i/>
                <w:iCs/>
                <w:sz w:val="24"/>
                <w:szCs w:val="24"/>
                <w:lang w:val="it-IT"/>
              </w:rPr>
              <w:t>Q12.</w:t>
            </w:r>
            <w:r w:rsidRPr="001C2275">
              <w:rPr>
                <w:rFonts w:ascii="Arial" w:hAnsi="Arial" w:cs="Arial"/>
                <w:b/>
                <w:bCs/>
                <w:i/>
                <w:iCs/>
                <w:sz w:val="24"/>
                <w:szCs w:val="24"/>
                <w:lang w:val="it-IT"/>
              </w:rPr>
              <w:tab/>
              <w:t>Nei casi di gestori non integrati, e con riferimento agli impianti di chiusura del ciclo “minimi”, si condivide la prospettata adozione di una regolazione dei costi riconosciuti e delle tariffe caratterizzata da incentivazioni coerenti con la menzionata gerarchia? Si condivide il meccanismo perequativo illustrato nelle sue linee generali e, in particolare, l’introduzione di una componente ambientale (</w:t>
            </w:r>
            <w:r w:rsidRPr="001C2275">
              <w:rPr>
                <w:rFonts w:ascii="Cambria Math" w:hAnsi="Cambria Math" w:cs="Cambria Math"/>
                <w:b/>
                <w:bCs/>
                <w:i/>
                <w:iCs/>
                <w:sz w:val="24"/>
                <w:szCs w:val="24"/>
                <w:lang w:val="it-IT"/>
              </w:rPr>
              <w:t>𝐶𝑖𝑛𝑐</w:t>
            </w:r>
            <w:r w:rsidRPr="001C2275">
              <w:rPr>
                <w:rFonts w:ascii="Arial" w:hAnsi="Arial" w:cs="Arial"/>
                <w:b/>
                <w:bCs/>
                <w:i/>
                <w:iCs/>
                <w:sz w:val="24"/>
                <w:szCs w:val="24"/>
                <w:lang w:val="it-IT"/>
              </w:rPr>
              <w:t>) a parziale compensazione dei corrispettivi dovuti per l’accesso agli impianti di incenerimento con recupero di energia? Motivare le risposte.</w:t>
            </w:r>
          </w:p>
          <w:p w14:paraId="03797E35" w14:textId="0538C00D" w:rsidR="001C2275" w:rsidRDefault="001C2275" w:rsidP="001C2275">
            <w:pPr>
              <w:jc w:val="both"/>
              <w:rPr>
                <w:rFonts w:ascii="Arial" w:hAnsi="Arial" w:cs="Arial"/>
                <w:b/>
                <w:bCs/>
                <w:i/>
                <w:iCs/>
                <w:sz w:val="24"/>
                <w:szCs w:val="24"/>
                <w:lang w:val="it-IT"/>
              </w:rPr>
            </w:pPr>
            <w:r>
              <w:rPr>
                <w:rFonts w:ascii="Arial" w:hAnsi="Arial" w:cs="Arial"/>
                <w:b/>
                <w:bCs/>
                <w:i/>
                <w:iCs/>
                <w:sz w:val="24"/>
                <w:szCs w:val="24"/>
                <w:lang w:val="it-IT"/>
              </w:rPr>
              <w:t>…</w:t>
            </w:r>
          </w:p>
          <w:p w14:paraId="6D2C5689" w14:textId="77777777" w:rsidR="00F10896" w:rsidRPr="001C2275" w:rsidRDefault="00F10896" w:rsidP="001C2275">
            <w:pPr>
              <w:jc w:val="both"/>
              <w:rPr>
                <w:rFonts w:ascii="Arial" w:hAnsi="Arial" w:cs="Arial"/>
                <w:b/>
                <w:bCs/>
                <w:i/>
                <w:iCs/>
                <w:sz w:val="24"/>
                <w:szCs w:val="24"/>
                <w:lang w:val="it-IT"/>
              </w:rPr>
            </w:pPr>
          </w:p>
          <w:p w14:paraId="335BDFFE" w14:textId="15A03C08" w:rsidR="001C2275" w:rsidRDefault="001C2275" w:rsidP="001C2275">
            <w:pPr>
              <w:jc w:val="both"/>
              <w:rPr>
                <w:rFonts w:ascii="Arial" w:hAnsi="Arial" w:cs="Arial"/>
                <w:b/>
                <w:bCs/>
                <w:i/>
                <w:iCs/>
                <w:sz w:val="24"/>
                <w:szCs w:val="24"/>
                <w:lang w:val="it-IT"/>
              </w:rPr>
            </w:pPr>
            <w:r w:rsidRPr="001C2275">
              <w:rPr>
                <w:rFonts w:ascii="Arial" w:hAnsi="Arial" w:cs="Arial"/>
                <w:b/>
                <w:bCs/>
                <w:i/>
                <w:iCs/>
                <w:sz w:val="24"/>
                <w:szCs w:val="24"/>
                <w:lang w:val="it-IT"/>
              </w:rPr>
              <w:t>Q13.</w:t>
            </w:r>
            <w:r w:rsidRPr="001C2275">
              <w:rPr>
                <w:rFonts w:ascii="Arial" w:hAnsi="Arial" w:cs="Arial"/>
                <w:b/>
                <w:bCs/>
                <w:i/>
                <w:iCs/>
                <w:sz w:val="24"/>
                <w:szCs w:val="24"/>
                <w:lang w:val="it-IT"/>
              </w:rPr>
              <w:tab/>
              <w:t>Nei casi di gestori non integrati, si condivide l’orientamento di non introdurre una regolazione tariffaria tout court per gli impianti di chiusura del ciclo “aggiuntivi”, limitando l’intervento regolatorio all’introduzione di obblighi di trasparenza sulle condizioni (in particolare economiche) di accesso agli impianti e a disincentivi per chi conferisce in discarica o in impianti di incenerimento senza recupero di energia? Motivare la risposta.</w:t>
            </w:r>
          </w:p>
          <w:p w14:paraId="3F2BBE98" w14:textId="5900BF3A" w:rsidR="001C2275" w:rsidRDefault="001C2275" w:rsidP="001C2275">
            <w:pPr>
              <w:jc w:val="both"/>
              <w:rPr>
                <w:rFonts w:ascii="Arial" w:hAnsi="Arial" w:cs="Arial"/>
                <w:b/>
                <w:bCs/>
                <w:i/>
                <w:iCs/>
                <w:sz w:val="24"/>
                <w:szCs w:val="24"/>
                <w:lang w:val="it-IT"/>
              </w:rPr>
            </w:pPr>
            <w:r>
              <w:rPr>
                <w:rFonts w:ascii="Arial" w:hAnsi="Arial" w:cs="Arial"/>
                <w:b/>
                <w:bCs/>
                <w:i/>
                <w:iCs/>
                <w:sz w:val="24"/>
                <w:szCs w:val="24"/>
                <w:lang w:val="it-IT"/>
              </w:rPr>
              <w:t>…</w:t>
            </w:r>
          </w:p>
          <w:p w14:paraId="0CB4FED9" w14:textId="77777777" w:rsidR="00F10896" w:rsidRPr="001C2275" w:rsidRDefault="00F10896" w:rsidP="001C2275">
            <w:pPr>
              <w:jc w:val="both"/>
              <w:rPr>
                <w:rFonts w:ascii="Arial" w:hAnsi="Arial" w:cs="Arial"/>
                <w:b/>
                <w:bCs/>
                <w:i/>
                <w:iCs/>
                <w:sz w:val="24"/>
                <w:szCs w:val="24"/>
                <w:lang w:val="it-IT"/>
              </w:rPr>
            </w:pPr>
          </w:p>
          <w:p w14:paraId="0F19FBB2" w14:textId="77777777" w:rsidR="001C2275" w:rsidRDefault="001C2275" w:rsidP="001C2275">
            <w:pPr>
              <w:jc w:val="both"/>
              <w:rPr>
                <w:rFonts w:ascii="Arial" w:hAnsi="Arial" w:cs="Arial"/>
                <w:b/>
                <w:bCs/>
                <w:i/>
                <w:iCs/>
                <w:sz w:val="24"/>
                <w:szCs w:val="24"/>
                <w:lang w:val="it-IT"/>
              </w:rPr>
            </w:pPr>
            <w:r w:rsidRPr="001C2275">
              <w:rPr>
                <w:rFonts w:ascii="Arial" w:hAnsi="Arial" w:cs="Arial"/>
                <w:b/>
                <w:bCs/>
                <w:i/>
                <w:iCs/>
                <w:sz w:val="24"/>
                <w:szCs w:val="24"/>
                <w:lang w:val="it-IT"/>
              </w:rPr>
              <w:t>Q14.</w:t>
            </w:r>
            <w:r w:rsidRPr="001C2275">
              <w:rPr>
                <w:rFonts w:ascii="Arial" w:hAnsi="Arial" w:cs="Arial"/>
                <w:b/>
                <w:bCs/>
                <w:i/>
                <w:iCs/>
                <w:sz w:val="24"/>
                <w:szCs w:val="24"/>
                <w:lang w:val="it-IT"/>
              </w:rPr>
              <w:tab/>
              <w:t>Si ritiene vi siano elementi specifici di cui l’Autorità debba tener conto ai fini della regolazione tariffaria degli impianti di trattamento intermedi (TM e TMB)? Motivare la risposta.</w:t>
            </w:r>
          </w:p>
          <w:p w14:paraId="1C0F242C" w14:textId="16A17817" w:rsidR="001C2275" w:rsidRDefault="001C2275" w:rsidP="001C2275">
            <w:pPr>
              <w:jc w:val="both"/>
              <w:rPr>
                <w:rFonts w:ascii="Arial" w:hAnsi="Arial" w:cs="Arial"/>
                <w:b/>
                <w:bCs/>
                <w:i/>
                <w:iCs/>
                <w:sz w:val="24"/>
                <w:szCs w:val="24"/>
                <w:lang w:val="it-IT"/>
              </w:rPr>
            </w:pPr>
            <w:r w:rsidRPr="0038085D">
              <w:rPr>
                <w:rFonts w:ascii="Arial" w:hAnsi="Arial" w:cs="Arial"/>
                <w:b/>
                <w:bCs/>
                <w:i/>
                <w:iCs/>
                <w:sz w:val="24"/>
                <w:szCs w:val="24"/>
                <w:lang w:val="it-IT"/>
              </w:rPr>
              <w:t>…</w:t>
            </w:r>
          </w:p>
          <w:p w14:paraId="4B88D91B" w14:textId="77777777" w:rsidR="00F10896" w:rsidRPr="0038085D" w:rsidRDefault="00F10896" w:rsidP="001C2275">
            <w:pPr>
              <w:jc w:val="both"/>
              <w:rPr>
                <w:rFonts w:ascii="Arial" w:hAnsi="Arial" w:cs="Arial"/>
                <w:b/>
                <w:bCs/>
                <w:i/>
                <w:iCs/>
                <w:sz w:val="24"/>
                <w:szCs w:val="24"/>
                <w:lang w:val="it-IT"/>
              </w:rPr>
            </w:pPr>
          </w:p>
          <w:p w14:paraId="6ABE29C2" w14:textId="5A1D3F82" w:rsidR="0038085D" w:rsidRPr="0038085D" w:rsidRDefault="0038085D" w:rsidP="001C2275">
            <w:pPr>
              <w:jc w:val="both"/>
              <w:rPr>
                <w:rFonts w:ascii="Arial" w:hAnsi="Arial" w:cs="Arial"/>
                <w:b/>
                <w:bCs/>
                <w:i/>
                <w:iCs/>
                <w:sz w:val="24"/>
                <w:szCs w:val="24"/>
                <w:lang w:val="it-IT"/>
              </w:rPr>
            </w:pPr>
            <w:r w:rsidRPr="0038085D">
              <w:rPr>
                <w:rFonts w:ascii="Arial" w:hAnsi="Arial" w:cs="Arial"/>
                <w:b/>
                <w:bCs/>
                <w:i/>
                <w:iCs/>
                <w:sz w:val="24"/>
                <w:szCs w:val="24"/>
                <w:lang w:val="it-IT"/>
              </w:rPr>
              <w:t>Q15. Quali ulteriori elementi (anche relativi agli assetti del mercato delle fasi a valle) si ritiene debbano essere tenuti in considerazione ai fini di una declinazione dell’intervento regolatorio che risulti efficace per promuovere il raggiungimento dei target europei?</w:t>
            </w:r>
          </w:p>
          <w:p w14:paraId="2F616A51" w14:textId="77777777" w:rsidR="0038085D" w:rsidRDefault="0038085D" w:rsidP="001C2275">
            <w:pPr>
              <w:jc w:val="both"/>
              <w:rPr>
                <w:rFonts w:ascii="Arial" w:hAnsi="Arial" w:cs="Arial"/>
                <w:b/>
                <w:bCs/>
                <w:i/>
                <w:iCs/>
                <w:sz w:val="24"/>
                <w:szCs w:val="24"/>
                <w:lang w:val="it-IT"/>
              </w:rPr>
            </w:pPr>
            <w:r w:rsidRPr="0038085D">
              <w:rPr>
                <w:rFonts w:ascii="Arial" w:hAnsi="Arial" w:cs="Arial"/>
                <w:b/>
                <w:bCs/>
                <w:i/>
                <w:iCs/>
                <w:sz w:val="24"/>
                <w:szCs w:val="24"/>
                <w:lang w:val="it-IT"/>
              </w:rPr>
              <w:t>…</w:t>
            </w:r>
          </w:p>
          <w:p w14:paraId="50840444" w14:textId="5BFDB6FA" w:rsidR="00F10896" w:rsidRPr="0038085D" w:rsidRDefault="00F10896" w:rsidP="001C2275">
            <w:pPr>
              <w:jc w:val="both"/>
              <w:rPr>
                <w:rFonts w:ascii="Arial" w:hAnsi="Arial" w:cs="Arial"/>
                <w:sz w:val="24"/>
                <w:szCs w:val="24"/>
                <w:lang w:val="it-IT"/>
              </w:rPr>
            </w:pPr>
          </w:p>
        </w:tc>
      </w:tr>
      <w:bookmarkEnd w:id="5"/>
    </w:tbl>
    <w:p w14:paraId="5AD228FB" w14:textId="2F1A34B2" w:rsidR="00377C8C" w:rsidRDefault="00377C8C" w:rsidP="00390366">
      <w:pPr>
        <w:jc w:val="both"/>
        <w:rPr>
          <w:rFonts w:ascii="Arial" w:hAnsi="Arial" w:cs="Arial"/>
          <w:sz w:val="24"/>
          <w:szCs w:val="24"/>
          <w:lang w:val="it-IT"/>
        </w:rPr>
      </w:pPr>
    </w:p>
    <w:tbl>
      <w:tblPr>
        <w:tblStyle w:val="Grigliatabella"/>
        <w:tblW w:w="0" w:type="auto"/>
        <w:tblLook w:val="04A0" w:firstRow="1" w:lastRow="0" w:firstColumn="1" w:lastColumn="0" w:noHBand="0" w:noVBand="1"/>
      </w:tblPr>
      <w:tblGrid>
        <w:gridCol w:w="9350"/>
      </w:tblGrid>
      <w:tr w:rsidR="0038085D" w:rsidRPr="00390366" w14:paraId="18C9847E" w14:textId="77777777" w:rsidTr="00DB5ADE">
        <w:tc>
          <w:tcPr>
            <w:tcW w:w="9350" w:type="dxa"/>
          </w:tcPr>
          <w:p w14:paraId="3CB18DB9" w14:textId="77777777" w:rsidR="0038085D" w:rsidRDefault="0038085D" w:rsidP="00DB5ADE">
            <w:pPr>
              <w:jc w:val="both"/>
              <w:rPr>
                <w:rFonts w:ascii="Arial" w:hAnsi="Arial" w:cs="Arial"/>
                <w:b/>
                <w:bCs/>
                <w:i/>
                <w:iCs/>
                <w:sz w:val="24"/>
                <w:szCs w:val="24"/>
                <w:lang w:val="it-IT"/>
              </w:rPr>
            </w:pPr>
            <w:bookmarkStart w:id="6" w:name="_Hlk71799751"/>
          </w:p>
          <w:p w14:paraId="24D55DD1" w14:textId="1E513AE5" w:rsidR="0038085D" w:rsidRPr="0038085D" w:rsidRDefault="0038085D" w:rsidP="0038085D">
            <w:pPr>
              <w:jc w:val="both"/>
              <w:rPr>
                <w:rFonts w:ascii="Arial" w:hAnsi="Arial" w:cs="Arial"/>
                <w:b/>
                <w:bCs/>
                <w:i/>
                <w:iCs/>
                <w:sz w:val="24"/>
                <w:szCs w:val="24"/>
                <w:lang w:val="it-IT"/>
              </w:rPr>
            </w:pPr>
            <w:r w:rsidRPr="0038085D">
              <w:rPr>
                <w:rFonts w:ascii="Arial" w:hAnsi="Arial" w:cs="Arial"/>
                <w:b/>
                <w:bCs/>
                <w:i/>
                <w:iCs/>
                <w:sz w:val="24"/>
                <w:szCs w:val="24"/>
                <w:lang w:val="it-IT"/>
              </w:rPr>
              <w:t>Q16.</w:t>
            </w:r>
            <w:r w:rsidRPr="0038085D">
              <w:rPr>
                <w:rFonts w:ascii="Arial" w:hAnsi="Arial" w:cs="Arial"/>
                <w:b/>
                <w:bCs/>
                <w:i/>
                <w:iCs/>
                <w:sz w:val="24"/>
                <w:szCs w:val="24"/>
                <w:lang w:val="it-IT"/>
              </w:rPr>
              <w:tab/>
              <w:t>Si ritengono esaustive le condizioni enucleate ai fini dell’identificazione degli impianti di chiusura del ciclo “minimi”? Motivare la risposta.</w:t>
            </w:r>
          </w:p>
          <w:p w14:paraId="2D4D3311" w14:textId="47386291" w:rsidR="0038085D" w:rsidRDefault="0038085D" w:rsidP="0038085D">
            <w:pPr>
              <w:jc w:val="both"/>
              <w:rPr>
                <w:rFonts w:ascii="Arial" w:hAnsi="Arial" w:cs="Arial"/>
                <w:b/>
                <w:bCs/>
                <w:i/>
                <w:iCs/>
                <w:sz w:val="24"/>
                <w:szCs w:val="24"/>
                <w:lang w:val="it-IT"/>
              </w:rPr>
            </w:pPr>
            <w:r w:rsidRPr="0038085D">
              <w:rPr>
                <w:rFonts w:ascii="Arial" w:hAnsi="Arial" w:cs="Arial"/>
                <w:b/>
                <w:bCs/>
                <w:i/>
                <w:iCs/>
                <w:sz w:val="24"/>
                <w:szCs w:val="24"/>
                <w:lang w:val="it-IT"/>
              </w:rPr>
              <w:t>…</w:t>
            </w:r>
          </w:p>
          <w:p w14:paraId="592A36E8" w14:textId="77777777" w:rsidR="00F10896" w:rsidRPr="0038085D" w:rsidRDefault="00F10896" w:rsidP="0038085D">
            <w:pPr>
              <w:jc w:val="both"/>
              <w:rPr>
                <w:rFonts w:ascii="Arial" w:hAnsi="Arial" w:cs="Arial"/>
                <w:b/>
                <w:bCs/>
                <w:i/>
                <w:iCs/>
                <w:sz w:val="24"/>
                <w:szCs w:val="24"/>
                <w:lang w:val="it-IT"/>
              </w:rPr>
            </w:pPr>
          </w:p>
          <w:p w14:paraId="287CEBB3" w14:textId="57371E04" w:rsidR="0038085D" w:rsidRPr="0038085D" w:rsidRDefault="0038085D" w:rsidP="0038085D">
            <w:pPr>
              <w:jc w:val="both"/>
              <w:rPr>
                <w:rFonts w:ascii="Arial" w:hAnsi="Arial" w:cs="Arial"/>
                <w:b/>
                <w:bCs/>
                <w:i/>
                <w:iCs/>
                <w:sz w:val="24"/>
                <w:szCs w:val="24"/>
                <w:lang w:val="it-IT"/>
              </w:rPr>
            </w:pPr>
            <w:r w:rsidRPr="0038085D">
              <w:rPr>
                <w:rFonts w:ascii="Arial" w:hAnsi="Arial" w:cs="Arial"/>
                <w:b/>
                <w:bCs/>
                <w:i/>
                <w:iCs/>
                <w:sz w:val="24"/>
                <w:szCs w:val="24"/>
                <w:lang w:val="it-IT"/>
              </w:rPr>
              <w:t>Q17.</w:t>
            </w:r>
            <w:r w:rsidRPr="0038085D">
              <w:rPr>
                <w:rFonts w:ascii="Arial" w:hAnsi="Arial" w:cs="Arial"/>
                <w:b/>
                <w:bCs/>
                <w:i/>
                <w:iCs/>
                <w:sz w:val="24"/>
                <w:szCs w:val="24"/>
                <w:lang w:val="it-IT"/>
              </w:rPr>
              <w:tab/>
              <w:t>Si ritiene vi siano specifici elementi da segnalare per meglio identificare gli impianti di chiusura del ciclo “aggiuntivi”? Motivare la risposta.</w:t>
            </w:r>
          </w:p>
          <w:p w14:paraId="788764E7" w14:textId="43894124" w:rsidR="0038085D" w:rsidRDefault="0038085D" w:rsidP="0038085D">
            <w:pPr>
              <w:jc w:val="both"/>
              <w:rPr>
                <w:rFonts w:ascii="Arial" w:hAnsi="Arial" w:cs="Arial"/>
                <w:b/>
                <w:bCs/>
                <w:i/>
                <w:iCs/>
                <w:sz w:val="24"/>
                <w:szCs w:val="24"/>
                <w:lang w:val="it-IT"/>
              </w:rPr>
            </w:pPr>
            <w:r w:rsidRPr="0038085D">
              <w:rPr>
                <w:rFonts w:ascii="Arial" w:hAnsi="Arial" w:cs="Arial"/>
                <w:b/>
                <w:bCs/>
                <w:i/>
                <w:iCs/>
                <w:sz w:val="24"/>
                <w:szCs w:val="24"/>
                <w:lang w:val="it-IT"/>
              </w:rPr>
              <w:t>…</w:t>
            </w:r>
          </w:p>
          <w:p w14:paraId="0394DA46" w14:textId="77777777" w:rsidR="00F10896" w:rsidRPr="0038085D" w:rsidRDefault="00F10896" w:rsidP="0038085D">
            <w:pPr>
              <w:jc w:val="both"/>
              <w:rPr>
                <w:rFonts w:ascii="Arial" w:hAnsi="Arial" w:cs="Arial"/>
                <w:b/>
                <w:bCs/>
                <w:i/>
                <w:iCs/>
                <w:sz w:val="24"/>
                <w:szCs w:val="24"/>
                <w:lang w:val="it-IT"/>
              </w:rPr>
            </w:pPr>
          </w:p>
          <w:p w14:paraId="5B6B0486" w14:textId="210C3016" w:rsidR="0038085D" w:rsidRPr="0038085D" w:rsidRDefault="0038085D" w:rsidP="0038085D">
            <w:pPr>
              <w:jc w:val="both"/>
              <w:rPr>
                <w:rFonts w:ascii="Arial" w:hAnsi="Arial" w:cs="Arial"/>
                <w:b/>
                <w:bCs/>
                <w:i/>
                <w:iCs/>
                <w:sz w:val="24"/>
                <w:szCs w:val="24"/>
                <w:lang w:val="it-IT"/>
              </w:rPr>
            </w:pPr>
            <w:r w:rsidRPr="0038085D">
              <w:rPr>
                <w:rFonts w:ascii="Arial" w:hAnsi="Arial" w:cs="Arial"/>
                <w:b/>
                <w:bCs/>
                <w:i/>
                <w:iCs/>
                <w:sz w:val="24"/>
                <w:szCs w:val="24"/>
                <w:lang w:val="it-IT"/>
              </w:rPr>
              <w:t>Q18.</w:t>
            </w:r>
            <w:r w:rsidRPr="0038085D">
              <w:rPr>
                <w:rFonts w:ascii="Arial" w:hAnsi="Arial" w:cs="Arial"/>
                <w:b/>
                <w:bCs/>
                <w:i/>
                <w:iCs/>
                <w:sz w:val="24"/>
                <w:szCs w:val="24"/>
                <w:lang w:val="it-IT"/>
              </w:rPr>
              <w:tab/>
              <w:t>Quali proposte si ritiene di poter formulare con riguardo al riferimento territoriale per l’individuazione degli impianti di chiusura del ciclo “minimi”? Motivare la risposta.</w:t>
            </w:r>
          </w:p>
          <w:p w14:paraId="6B9D72EA" w14:textId="00865AE4" w:rsidR="0038085D" w:rsidRDefault="0038085D" w:rsidP="0038085D">
            <w:pPr>
              <w:jc w:val="both"/>
              <w:rPr>
                <w:rFonts w:ascii="Arial" w:hAnsi="Arial" w:cs="Arial"/>
                <w:b/>
                <w:bCs/>
                <w:i/>
                <w:iCs/>
                <w:sz w:val="24"/>
                <w:szCs w:val="24"/>
                <w:lang w:val="it-IT"/>
              </w:rPr>
            </w:pPr>
            <w:r w:rsidRPr="0038085D">
              <w:rPr>
                <w:rFonts w:ascii="Arial" w:hAnsi="Arial" w:cs="Arial"/>
                <w:b/>
                <w:bCs/>
                <w:i/>
                <w:iCs/>
                <w:sz w:val="24"/>
                <w:szCs w:val="24"/>
                <w:lang w:val="it-IT"/>
              </w:rPr>
              <w:t>…</w:t>
            </w:r>
          </w:p>
          <w:p w14:paraId="3D599DCB" w14:textId="77777777" w:rsidR="00F10896" w:rsidRPr="0038085D" w:rsidRDefault="00F10896" w:rsidP="0038085D">
            <w:pPr>
              <w:jc w:val="both"/>
              <w:rPr>
                <w:rFonts w:ascii="Arial" w:hAnsi="Arial" w:cs="Arial"/>
                <w:b/>
                <w:bCs/>
                <w:i/>
                <w:iCs/>
                <w:sz w:val="24"/>
                <w:szCs w:val="24"/>
                <w:lang w:val="it-IT"/>
              </w:rPr>
            </w:pPr>
          </w:p>
          <w:p w14:paraId="1480938D" w14:textId="3FD6F212" w:rsidR="0038085D" w:rsidRPr="0038085D" w:rsidRDefault="0038085D" w:rsidP="0038085D">
            <w:pPr>
              <w:jc w:val="both"/>
              <w:rPr>
                <w:rFonts w:ascii="Arial" w:hAnsi="Arial" w:cs="Arial"/>
                <w:b/>
                <w:bCs/>
                <w:i/>
                <w:iCs/>
                <w:sz w:val="24"/>
                <w:szCs w:val="24"/>
                <w:lang w:val="it-IT"/>
              </w:rPr>
            </w:pPr>
            <w:r w:rsidRPr="0038085D">
              <w:rPr>
                <w:rFonts w:ascii="Arial" w:hAnsi="Arial" w:cs="Arial"/>
                <w:b/>
                <w:bCs/>
                <w:i/>
                <w:iCs/>
                <w:sz w:val="24"/>
                <w:szCs w:val="24"/>
                <w:lang w:val="it-IT"/>
              </w:rPr>
              <w:t>Q19.</w:t>
            </w:r>
            <w:r w:rsidRPr="0038085D">
              <w:rPr>
                <w:rFonts w:ascii="Arial" w:hAnsi="Arial" w:cs="Arial"/>
                <w:b/>
                <w:bCs/>
                <w:i/>
                <w:iCs/>
                <w:sz w:val="24"/>
                <w:szCs w:val="24"/>
                <w:lang w:val="it-IT"/>
              </w:rPr>
              <w:tab/>
              <w:t>Si conviene sull’opportunità di demandare ad un provvedimento governativo - da valutare in sede di Conferenza unificata di cui all’articolo 8 del decreto legislativo 28/1997 - l’individuazione degli impianti di chiusura del ciclo “minimi” (da assoggettare a regolazione, al fine di promuoverne l’efficienza in un quadro di progressivo dinamismo concorrenziale)? Motivare la risposta.</w:t>
            </w:r>
          </w:p>
          <w:p w14:paraId="34116CB7" w14:textId="7FDC1205" w:rsidR="0038085D" w:rsidRPr="0038085D" w:rsidRDefault="0038085D" w:rsidP="0038085D">
            <w:pPr>
              <w:jc w:val="both"/>
              <w:rPr>
                <w:rFonts w:ascii="Arial" w:hAnsi="Arial" w:cs="Arial"/>
                <w:b/>
                <w:bCs/>
                <w:i/>
                <w:iCs/>
                <w:sz w:val="24"/>
                <w:szCs w:val="24"/>
                <w:lang w:val="it-IT"/>
              </w:rPr>
            </w:pPr>
            <w:r w:rsidRPr="0038085D">
              <w:rPr>
                <w:rFonts w:ascii="Arial" w:hAnsi="Arial" w:cs="Arial"/>
                <w:b/>
                <w:bCs/>
                <w:i/>
                <w:iCs/>
                <w:sz w:val="24"/>
                <w:szCs w:val="24"/>
                <w:lang w:val="it-IT"/>
              </w:rPr>
              <w:t>…</w:t>
            </w:r>
          </w:p>
          <w:p w14:paraId="29A4226D" w14:textId="279EDC92" w:rsidR="0038085D" w:rsidRPr="0038085D" w:rsidRDefault="0038085D" w:rsidP="00DB5ADE">
            <w:pPr>
              <w:jc w:val="both"/>
              <w:rPr>
                <w:rFonts w:ascii="Arial" w:hAnsi="Arial" w:cs="Arial"/>
                <w:sz w:val="24"/>
                <w:szCs w:val="24"/>
                <w:lang w:val="it-IT"/>
              </w:rPr>
            </w:pPr>
          </w:p>
        </w:tc>
      </w:tr>
      <w:bookmarkEnd w:id="6"/>
    </w:tbl>
    <w:p w14:paraId="1B645BAB" w14:textId="38AC5389" w:rsidR="0038085D" w:rsidRDefault="0038085D" w:rsidP="00390366">
      <w:pPr>
        <w:jc w:val="both"/>
        <w:rPr>
          <w:rFonts w:ascii="Arial" w:hAnsi="Arial" w:cs="Arial"/>
          <w:sz w:val="24"/>
          <w:szCs w:val="24"/>
          <w:lang w:val="it-IT"/>
        </w:rPr>
      </w:pPr>
    </w:p>
    <w:p w14:paraId="460D8337" w14:textId="6C835DFD" w:rsidR="0038085D" w:rsidRDefault="0038085D" w:rsidP="00390366">
      <w:pPr>
        <w:jc w:val="both"/>
        <w:rPr>
          <w:rFonts w:ascii="Arial" w:hAnsi="Arial" w:cs="Arial"/>
          <w:b/>
          <w:bCs/>
          <w:color w:val="0070C0"/>
          <w:sz w:val="24"/>
          <w:szCs w:val="24"/>
          <w:lang w:val="it-IT"/>
        </w:rPr>
      </w:pPr>
      <w:r w:rsidRPr="0038085D">
        <w:rPr>
          <w:rFonts w:ascii="Arial" w:hAnsi="Arial" w:cs="Arial"/>
          <w:b/>
          <w:bCs/>
          <w:color w:val="0070C0"/>
          <w:sz w:val="24"/>
          <w:szCs w:val="24"/>
          <w:lang w:val="it-IT"/>
        </w:rPr>
        <w:t>Costi riconosciuti</w:t>
      </w:r>
    </w:p>
    <w:tbl>
      <w:tblPr>
        <w:tblStyle w:val="Grigliatabella"/>
        <w:tblW w:w="0" w:type="auto"/>
        <w:tblLook w:val="04A0" w:firstRow="1" w:lastRow="0" w:firstColumn="1" w:lastColumn="0" w:noHBand="0" w:noVBand="1"/>
      </w:tblPr>
      <w:tblGrid>
        <w:gridCol w:w="9350"/>
      </w:tblGrid>
      <w:tr w:rsidR="0038085D" w:rsidRPr="00390366" w14:paraId="08A8603F" w14:textId="77777777" w:rsidTr="00DB5ADE">
        <w:tc>
          <w:tcPr>
            <w:tcW w:w="9350" w:type="dxa"/>
          </w:tcPr>
          <w:p w14:paraId="0B028133" w14:textId="77777777" w:rsidR="0038085D" w:rsidRDefault="0038085D" w:rsidP="00DB5ADE">
            <w:pPr>
              <w:jc w:val="both"/>
              <w:rPr>
                <w:rFonts w:ascii="Arial" w:hAnsi="Arial" w:cs="Arial"/>
                <w:b/>
                <w:bCs/>
                <w:i/>
                <w:iCs/>
                <w:sz w:val="24"/>
                <w:szCs w:val="24"/>
                <w:lang w:val="it-IT"/>
              </w:rPr>
            </w:pPr>
            <w:bookmarkStart w:id="7" w:name="_Hlk71799807"/>
          </w:p>
          <w:p w14:paraId="2550A397" w14:textId="77777777" w:rsidR="0038085D" w:rsidRPr="00D27403" w:rsidRDefault="0038085D" w:rsidP="00DB5ADE">
            <w:pPr>
              <w:jc w:val="both"/>
              <w:rPr>
                <w:rFonts w:ascii="Arial" w:hAnsi="Arial" w:cs="Arial"/>
                <w:b/>
                <w:bCs/>
                <w:i/>
                <w:iCs/>
                <w:sz w:val="24"/>
                <w:szCs w:val="24"/>
                <w:lang w:val="it-IT"/>
              </w:rPr>
            </w:pPr>
            <w:r>
              <w:rPr>
                <w:rFonts w:ascii="Arial" w:hAnsi="Arial" w:cs="Arial"/>
                <w:b/>
                <w:bCs/>
                <w:i/>
                <w:iCs/>
                <w:sz w:val="24"/>
                <w:szCs w:val="24"/>
                <w:lang w:val="it-IT"/>
              </w:rPr>
              <w:t xml:space="preserve">Q20. </w:t>
            </w:r>
            <w:r w:rsidRPr="0038085D">
              <w:rPr>
                <w:rFonts w:ascii="Arial" w:hAnsi="Arial" w:cs="Arial"/>
                <w:b/>
                <w:bCs/>
                <w:i/>
                <w:iCs/>
                <w:sz w:val="24"/>
                <w:szCs w:val="24"/>
                <w:lang w:val="it-IT"/>
              </w:rPr>
              <w:t xml:space="preserve">Si condivide l’impostazione generale in ordine alle componenti tariffarie del servizio integrato di gestione dei rifiuti urbani prospettata ai fini della determinazione delle entrate di riferimento per il secondo periodo regolatorio? Motivare la risposta. </w:t>
            </w:r>
          </w:p>
          <w:p w14:paraId="78B31137" w14:textId="46194F0C" w:rsidR="00D27403" w:rsidRPr="0038085D" w:rsidRDefault="00D27403" w:rsidP="00DB5ADE">
            <w:pPr>
              <w:jc w:val="both"/>
              <w:rPr>
                <w:rFonts w:ascii="Arial" w:hAnsi="Arial" w:cs="Arial"/>
                <w:sz w:val="24"/>
                <w:szCs w:val="24"/>
                <w:lang w:val="it-IT"/>
              </w:rPr>
            </w:pPr>
            <w:r w:rsidRPr="00D27403">
              <w:rPr>
                <w:rFonts w:ascii="Arial" w:hAnsi="Arial" w:cs="Arial"/>
                <w:b/>
                <w:bCs/>
                <w:sz w:val="24"/>
                <w:szCs w:val="24"/>
                <w:lang w:val="it-IT"/>
              </w:rPr>
              <w:t>…</w:t>
            </w:r>
          </w:p>
        </w:tc>
      </w:tr>
      <w:bookmarkEnd w:id="7"/>
    </w:tbl>
    <w:p w14:paraId="06B9A674" w14:textId="77777777" w:rsidR="0038085D" w:rsidRPr="0038085D" w:rsidRDefault="0038085D" w:rsidP="00390366">
      <w:pPr>
        <w:jc w:val="both"/>
        <w:rPr>
          <w:rFonts w:ascii="Arial" w:hAnsi="Arial" w:cs="Arial"/>
          <w:b/>
          <w:bCs/>
          <w:color w:val="0070C0"/>
          <w:sz w:val="24"/>
          <w:szCs w:val="24"/>
          <w:lang w:val="it-IT"/>
        </w:rPr>
      </w:pPr>
    </w:p>
    <w:tbl>
      <w:tblPr>
        <w:tblStyle w:val="Grigliatabella"/>
        <w:tblW w:w="0" w:type="auto"/>
        <w:tblLook w:val="04A0" w:firstRow="1" w:lastRow="0" w:firstColumn="1" w:lastColumn="0" w:noHBand="0" w:noVBand="1"/>
      </w:tblPr>
      <w:tblGrid>
        <w:gridCol w:w="9350"/>
      </w:tblGrid>
      <w:tr w:rsidR="00D27403" w:rsidRPr="00390366" w14:paraId="52925600" w14:textId="77777777" w:rsidTr="00DB5ADE">
        <w:tc>
          <w:tcPr>
            <w:tcW w:w="9350" w:type="dxa"/>
          </w:tcPr>
          <w:p w14:paraId="20DDDEFB" w14:textId="5B84F75B"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Q21.</w:t>
            </w:r>
            <w:r w:rsidRPr="00D27403">
              <w:rPr>
                <w:rFonts w:ascii="Arial" w:hAnsi="Arial" w:cs="Arial"/>
                <w:b/>
                <w:bCs/>
                <w:i/>
                <w:iCs/>
                <w:sz w:val="24"/>
                <w:szCs w:val="24"/>
                <w:lang w:val="it-IT"/>
              </w:rPr>
              <w:tab/>
              <w:t>Si condivide l’orientamento di confermare le entrate tariffarie attualmente adottate, nella loro struttura generale? Motivare la risposta.</w:t>
            </w:r>
          </w:p>
          <w:p w14:paraId="17123A60" w14:textId="53C93CD9" w:rsidR="00D27403" w:rsidRP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5A64EFE6" w14:textId="77777777" w:rsidR="00F10896"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Q22</w:t>
            </w:r>
          </w:p>
          <w:p w14:paraId="7ABFF7DB" w14:textId="32073ABB"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w:t>
            </w:r>
            <w:r w:rsidRPr="00D27403">
              <w:rPr>
                <w:rFonts w:ascii="Arial" w:hAnsi="Arial" w:cs="Arial"/>
                <w:b/>
                <w:bCs/>
                <w:i/>
                <w:iCs/>
                <w:sz w:val="24"/>
                <w:szCs w:val="24"/>
                <w:lang w:val="it-IT"/>
              </w:rPr>
              <w:tab/>
              <w:t>Si condividono le considerazioni generali formulate con riferimento alle singole componenti di costo? Motivare la risposta.</w:t>
            </w:r>
          </w:p>
          <w:p w14:paraId="53B407BC" w14:textId="6D542DD5"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516F3811" w14:textId="77777777" w:rsidR="00F10896" w:rsidRPr="00D27403" w:rsidRDefault="00F10896" w:rsidP="00D27403">
            <w:pPr>
              <w:jc w:val="both"/>
              <w:rPr>
                <w:rFonts w:ascii="Arial" w:hAnsi="Arial" w:cs="Arial"/>
                <w:b/>
                <w:bCs/>
                <w:i/>
                <w:iCs/>
                <w:sz w:val="24"/>
                <w:szCs w:val="24"/>
                <w:lang w:val="it-IT"/>
              </w:rPr>
            </w:pPr>
          </w:p>
          <w:p w14:paraId="31948100" w14:textId="622DA85E"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Q23.</w:t>
            </w:r>
            <w:r w:rsidRPr="00D27403">
              <w:rPr>
                <w:rFonts w:ascii="Arial" w:hAnsi="Arial" w:cs="Arial"/>
                <w:b/>
                <w:bCs/>
                <w:i/>
                <w:iCs/>
                <w:sz w:val="24"/>
                <w:szCs w:val="24"/>
                <w:lang w:val="it-IT"/>
              </w:rPr>
              <w:tab/>
              <w:t xml:space="preserve">Si condivide la proposta di includere nella componente </w:t>
            </w:r>
            <w:proofErr w:type="gramStart"/>
            <w:r w:rsidRPr="00D27403">
              <w:rPr>
                <w:rFonts w:ascii="Cambria Math" w:hAnsi="Cambria Math" w:cs="Cambria Math"/>
                <w:b/>
                <w:bCs/>
                <w:i/>
                <w:iCs/>
                <w:sz w:val="24"/>
                <w:szCs w:val="24"/>
                <w:lang w:val="it-IT"/>
              </w:rPr>
              <w:t>𝐴𝑅𝑆𝐶</w:t>
            </w:r>
            <w:r w:rsidRPr="00D27403">
              <w:rPr>
                <w:rFonts w:ascii="Arial" w:hAnsi="Arial" w:cs="Arial"/>
                <w:b/>
                <w:bCs/>
                <w:i/>
                <w:iCs/>
                <w:sz w:val="24"/>
                <w:szCs w:val="24"/>
                <w:lang w:val="it-IT"/>
              </w:rPr>
              <w:t>,</w:t>
            </w:r>
            <w:r w:rsidRPr="00D27403">
              <w:rPr>
                <w:rFonts w:ascii="Cambria Math" w:hAnsi="Cambria Math" w:cs="Cambria Math"/>
                <w:b/>
                <w:bCs/>
                <w:i/>
                <w:iCs/>
                <w:sz w:val="24"/>
                <w:szCs w:val="24"/>
                <w:lang w:val="it-IT"/>
              </w:rPr>
              <w:t>𝑎</w:t>
            </w:r>
            <w:proofErr w:type="gramEnd"/>
            <w:r w:rsidRPr="00D27403">
              <w:rPr>
                <w:rFonts w:ascii="Arial" w:hAnsi="Arial" w:cs="Arial"/>
                <w:b/>
                <w:bCs/>
                <w:i/>
                <w:iCs/>
                <w:sz w:val="24"/>
                <w:szCs w:val="24"/>
                <w:lang w:val="it-IT"/>
              </w:rPr>
              <w:t xml:space="preserve"> la somma dei proventi riconosciuti a tutti i sistemi collettivi di compliance? Motivare la risposta.</w:t>
            </w:r>
          </w:p>
          <w:p w14:paraId="0CA11A4F" w14:textId="32C6CF66"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100F5320" w14:textId="77777777" w:rsidR="00F10896" w:rsidRPr="00D27403" w:rsidRDefault="00F10896" w:rsidP="00D27403">
            <w:pPr>
              <w:jc w:val="both"/>
              <w:rPr>
                <w:rFonts w:ascii="Arial" w:hAnsi="Arial" w:cs="Arial"/>
                <w:b/>
                <w:bCs/>
                <w:i/>
                <w:iCs/>
                <w:sz w:val="24"/>
                <w:szCs w:val="24"/>
                <w:lang w:val="it-IT"/>
              </w:rPr>
            </w:pPr>
          </w:p>
          <w:p w14:paraId="29259AF8" w14:textId="569C7690"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Q24.</w:t>
            </w:r>
            <w:r w:rsidRPr="00D27403">
              <w:rPr>
                <w:rFonts w:ascii="Arial" w:hAnsi="Arial" w:cs="Arial"/>
                <w:b/>
                <w:bCs/>
                <w:i/>
                <w:iCs/>
                <w:sz w:val="24"/>
                <w:szCs w:val="24"/>
                <w:lang w:val="it-IT"/>
              </w:rPr>
              <w:tab/>
              <w:t>Si condividono le ipotesi formulate in merito ai criteri per la valorizzazione del fattore di sharing dei proventi derivanti dai corrispettivi riconosciuti dai sistemi collettivi di compliance? Motivare la risposta.</w:t>
            </w:r>
          </w:p>
          <w:p w14:paraId="4B7D60D5" w14:textId="36F4A8A6"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62F6C0B8" w14:textId="77777777" w:rsidR="00F10896" w:rsidRPr="00D27403" w:rsidRDefault="00F10896" w:rsidP="00D27403">
            <w:pPr>
              <w:jc w:val="both"/>
              <w:rPr>
                <w:rFonts w:ascii="Arial" w:hAnsi="Arial" w:cs="Arial"/>
                <w:b/>
                <w:bCs/>
                <w:i/>
                <w:iCs/>
                <w:sz w:val="24"/>
                <w:szCs w:val="24"/>
                <w:lang w:val="it-IT"/>
              </w:rPr>
            </w:pPr>
          </w:p>
          <w:p w14:paraId="5822ACE1" w14:textId="5838A77E"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Q25.</w:t>
            </w:r>
            <w:r w:rsidRPr="00D27403">
              <w:rPr>
                <w:rFonts w:ascii="Arial" w:hAnsi="Arial" w:cs="Arial"/>
                <w:b/>
                <w:bCs/>
                <w:i/>
                <w:iCs/>
                <w:sz w:val="24"/>
                <w:szCs w:val="24"/>
                <w:lang w:val="it-IT"/>
              </w:rPr>
              <w:tab/>
              <w:t xml:space="preserve">Eventuali costi incentivanti connessi all’introduzione di standard e livelli qualitativi migliorativi, o ulteriori, rispetto a quelli minimi fissati dalla regolazione si ritiene potrebbero essere ricompresi nell’ambito delle componenti di costo </w:t>
            </w:r>
            <w:r>
              <w:rPr>
                <w:rFonts w:ascii="Arial" w:hAnsi="Arial" w:cs="Arial"/>
                <w:b/>
                <w:bCs/>
                <w:i/>
                <w:iCs/>
                <w:sz w:val="24"/>
                <w:szCs w:val="24"/>
                <w:lang w:val="it-IT"/>
              </w:rPr>
              <w:t>COI (</w:t>
            </w:r>
            <w:proofErr w:type="spellStart"/>
            <w:proofErr w:type="gramStart"/>
            <w:r>
              <w:rPr>
                <w:rFonts w:ascii="Arial" w:hAnsi="Arial" w:cs="Arial"/>
                <w:b/>
                <w:bCs/>
                <w:i/>
                <w:iCs/>
                <w:sz w:val="24"/>
                <w:szCs w:val="24"/>
                <w:lang w:val="it-IT"/>
              </w:rPr>
              <w:t>exptv,a</w:t>
            </w:r>
            <w:proofErr w:type="spellEnd"/>
            <w:proofErr w:type="gramEnd"/>
            <w:r>
              <w:rPr>
                <w:rFonts w:ascii="Arial" w:hAnsi="Arial" w:cs="Arial"/>
                <w:b/>
                <w:bCs/>
                <w:i/>
                <w:iCs/>
                <w:sz w:val="24"/>
                <w:szCs w:val="24"/>
                <w:lang w:val="it-IT"/>
              </w:rPr>
              <w:t>) e COI (</w:t>
            </w:r>
            <w:proofErr w:type="spellStart"/>
            <w:r>
              <w:rPr>
                <w:rFonts w:ascii="Arial" w:hAnsi="Arial" w:cs="Arial"/>
                <w:b/>
                <w:bCs/>
                <w:i/>
                <w:iCs/>
                <w:sz w:val="24"/>
                <w:szCs w:val="24"/>
                <w:lang w:val="it-IT"/>
              </w:rPr>
              <w:t>exptf,a</w:t>
            </w:r>
            <w:proofErr w:type="spellEnd"/>
            <w:r>
              <w:rPr>
                <w:rFonts w:ascii="Arial" w:hAnsi="Arial" w:cs="Arial"/>
                <w:b/>
                <w:bCs/>
                <w:i/>
                <w:iCs/>
                <w:sz w:val="24"/>
                <w:szCs w:val="24"/>
                <w:lang w:val="it-IT"/>
              </w:rPr>
              <w:t>) (in ragione della natura incentivante delle stesse), oppure si ritiene preferibile esplicitarli nell’ambito delle componenti di costi previsionale CQ (</w:t>
            </w:r>
            <w:proofErr w:type="spellStart"/>
            <w:r>
              <w:rPr>
                <w:rFonts w:ascii="Arial" w:hAnsi="Arial" w:cs="Arial"/>
                <w:b/>
                <w:bCs/>
                <w:i/>
                <w:iCs/>
                <w:sz w:val="24"/>
                <w:szCs w:val="24"/>
                <w:lang w:val="it-IT"/>
              </w:rPr>
              <w:t>exptv,a</w:t>
            </w:r>
            <w:proofErr w:type="spellEnd"/>
            <w:r>
              <w:rPr>
                <w:rFonts w:ascii="Arial" w:hAnsi="Arial" w:cs="Arial"/>
                <w:b/>
                <w:bCs/>
                <w:i/>
                <w:iCs/>
                <w:sz w:val="24"/>
                <w:szCs w:val="24"/>
                <w:lang w:val="it-IT"/>
              </w:rPr>
              <w:t>) e CQ (</w:t>
            </w:r>
            <w:proofErr w:type="spellStart"/>
            <w:r>
              <w:rPr>
                <w:rFonts w:ascii="Arial" w:hAnsi="Arial" w:cs="Arial"/>
                <w:b/>
                <w:bCs/>
                <w:i/>
                <w:iCs/>
                <w:sz w:val="24"/>
                <w:szCs w:val="24"/>
                <w:lang w:val="it-IT"/>
              </w:rPr>
              <w:t>exptf,a</w:t>
            </w:r>
            <w:proofErr w:type="spellEnd"/>
            <w:r>
              <w:rPr>
                <w:rFonts w:ascii="Arial" w:hAnsi="Arial" w:cs="Arial"/>
                <w:b/>
                <w:bCs/>
                <w:i/>
                <w:iCs/>
                <w:sz w:val="24"/>
                <w:szCs w:val="24"/>
                <w:lang w:val="it-IT"/>
              </w:rPr>
              <w:t>) (per affinità di materia)? Motivare la risposta.</w:t>
            </w:r>
          </w:p>
          <w:p w14:paraId="3F71A282" w14:textId="2F4C3992"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1A497101" w14:textId="77777777" w:rsidR="00F10896" w:rsidRDefault="00F10896" w:rsidP="00D27403">
            <w:pPr>
              <w:jc w:val="both"/>
              <w:rPr>
                <w:rFonts w:ascii="Arial" w:hAnsi="Arial" w:cs="Arial"/>
                <w:b/>
                <w:bCs/>
                <w:i/>
                <w:iCs/>
                <w:sz w:val="24"/>
                <w:szCs w:val="24"/>
                <w:lang w:val="it-IT"/>
              </w:rPr>
            </w:pPr>
          </w:p>
          <w:p w14:paraId="3D0B7FC5" w14:textId="77777777" w:rsidR="00D27403" w:rsidRDefault="00D27403" w:rsidP="00DB5ADE">
            <w:pPr>
              <w:jc w:val="both"/>
              <w:rPr>
                <w:rFonts w:ascii="Arial" w:hAnsi="Arial" w:cs="Arial"/>
                <w:b/>
                <w:bCs/>
                <w:i/>
                <w:iCs/>
                <w:sz w:val="24"/>
                <w:szCs w:val="24"/>
                <w:lang w:val="it-IT"/>
              </w:rPr>
            </w:pPr>
            <w:r w:rsidRPr="00D27403">
              <w:rPr>
                <w:rFonts w:ascii="Arial" w:hAnsi="Arial" w:cs="Arial"/>
                <w:b/>
                <w:bCs/>
                <w:i/>
                <w:iCs/>
                <w:sz w:val="24"/>
                <w:szCs w:val="24"/>
                <w:lang w:val="it-IT"/>
              </w:rPr>
              <w:t>Q26.</w:t>
            </w:r>
            <w:r w:rsidRPr="00D27403">
              <w:rPr>
                <w:rFonts w:ascii="Arial" w:hAnsi="Arial" w:cs="Arial"/>
                <w:b/>
                <w:bCs/>
                <w:i/>
                <w:iCs/>
                <w:sz w:val="24"/>
                <w:szCs w:val="24"/>
                <w:lang w:val="it-IT"/>
              </w:rPr>
              <w:tab/>
              <w:t>Evidenziare eventuali criticità emerse alla luce dell’applicazione delle novità normative introdotte dal decreto legislativo 116/2020 al fine di individuare eventuali correttivi al sistema di riconoscimento dei costi. Motivare la risposta.</w:t>
            </w:r>
          </w:p>
          <w:p w14:paraId="04FF55FC" w14:textId="304881AA" w:rsidR="00D27403" w:rsidRPr="00D27403" w:rsidRDefault="00D27403" w:rsidP="00DB5ADE">
            <w:pPr>
              <w:jc w:val="both"/>
              <w:rPr>
                <w:rFonts w:ascii="Arial" w:hAnsi="Arial" w:cs="Arial"/>
                <w:b/>
                <w:bCs/>
                <w:i/>
                <w:iCs/>
                <w:sz w:val="24"/>
                <w:szCs w:val="24"/>
                <w:lang w:val="it-IT"/>
              </w:rPr>
            </w:pPr>
            <w:r>
              <w:rPr>
                <w:rFonts w:ascii="Arial" w:hAnsi="Arial" w:cs="Arial"/>
                <w:b/>
                <w:bCs/>
                <w:i/>
                <w:iCs/>
                <w:sz w:val="24"/>
                <w:szCs w:val="24"/>
                <w:lang w:val="it-IT"/>
              </w:rPr>
              <w:t>…</w:t>
            </w:r>
          </w:p>
        </w:tc>
      </w:tr>
    </w:tbl>
    <w:p w14:paraId="490F156B" w14:textId="107E7B72" w:rsidR="00377C8C" w:rsidRDefault="00377C8C" w:rsidP="00390366">
      <w:pPr>
        <w:jc w:val="both"/>
        <w:rPr>
          <w:rFonts w:ascii="Arial" w:hAnsi="Arial" w:cs="Arial"/>
          <w:sz w:val="24"/>
          <w:szCs w:val="24"/>
          <w:lang w:val="it-IT"/>
        </w:rPr>
      </w:pPr>
    </w:p>
    <w:tbl>
      <w:tblPr>
        <w:tblStyle w:val="Grigliatabella"/>
        <w:tblW w:w="0" w:type="auto"/>
        <w:tblLook w:val="04A0" w:firstRow="1" w:lastRow="0" w:firstColumn="1" w:lastColumn="0" w:noHBand="0" w:noVBand="1"/>
      </w:tblPr>
      <w:tblGrid>
        <w:gridCol w:w="9350"/>
      </w:tblGrid>
      <w:tr w:rsidR="00D27403" w:rsidRPr="0038085D" w14:paraId="0FF509B9" w14:textId="77777777" w:rsidTr="00DB5ADE">
        <w:tc>
          <w:tcPr>
            <w:tcW w:w="9350" w:type="dxa"/>
          </w:tcPr>
          <w:p w14:paraId="247070D1" w14:textId="44155152"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Q27.</w:t>
            </w:r>
            <w:r w:rsidRPr="00D27403">
              <w:rPr>
                <w:rFonts w:ascii="Arial" w:hAnsi="Arial" w:cs="Arial"/>
                <w:b/>
                <w:bCs/>
                <w:i/>
                <w:iCs/>
                <w:sz w:val="24"/>
                <w:szCs w:val="24"/>
                <w:lang w:val="it-IT"/>
              </w:rPr>
              <w:tab/>
              <w:t>Si condivide l’orientamento di confermare i criteri per la determinazione del limite alle entrate tariffarie? Motivare la risposta.</w:t>
            </w:r>
          </w:p>
          <w:p w14:paraId="00DDA131" w14:textId="0E80FA79"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0515B5E6" w14:textId="77777777" w:rsidR="00F10896" w:rsidRPr="00D27403" w:rsidRDefault="00F10896" w:rsidP="00D27403">
            <w:pPr>
              <w:jc w:val="both"/>
              <w:rPr>
                <w:rFonts w:ascii="Arial" w:hAnsi="Arial" w:cs="Arial"/>
                <w:b/>
                <w:bCs/>
                <w:i/>
                <w:iCs/>
                <w:sz w:val="24"/>
                <w:szCs w:val="24"/>
                <w:lang w:val="it-IT"/>
              </w:rPr>
            </w:pPr>
          </w:p>
          <w:p w14:paraId="08A4CE0E" w14:textId="7023C920"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Q28.</w:t>
            </w:r>
            <w:r w:rsidRPr="00D27403">
              <w:rPr>
                <w:rFonts w:ascii="Arial" w:hAnsi="Arial" w:cs="Arial"/>
                <w:b/>
                <w:bCs/>
                <w:i/>
                <w:iCs/>
                <w:sz w:val="24"/>
                <w:szCs w:val="24"/>
                <w:lang w:val="it-IT"/>
              </w:rPr>
              <w:tab/>
              <w:t>Si condivide l’orientamento di prevedere che il coefficiente di recupero di produttività sia determinato dall’Ente territorialmente competente in ragione del confronto tra il costo unitario effettivo della gestione interessata e il Benchmark di riferimento? Motivare la risposta.</w:t>
            </w:r>
          </w:p>
          <w:p w14:paraId="27E7B927" w14:textId="2CEFE60A"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0A58CAEE" w14:textId="77777777" w:rsidR="00F10896" w:rsidRPr="00D27403" w:rsidRDefault="00F10896" w:rsidP="00D27403">
            <w:pPr>
              <w:jc w:val="both"/>
              <w:rPr>
                <w:rFonts w:ascii="Arial" w:hAnsi="Arial" w:cs="Arial"/>
                <w:b/>
                <w:bCs/>
                <w:i/>
                <w:iCs/>
                <w:sz w:val="24"/>
                <w:szCs w:val="24"/>
                <w:lang w:val="it-IT"/>
              </w:rPr>
            </w:pPr>
          </w:p>
          <w:p w14:paraId="3581B78B" w14:textId="3AA85F74"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Q29.</w:t>
            </w:r>
            <w:r w:rsidRPr="00D27403">
              <w:rPr>
                <w:rFonts w:ascii="Arial" w:hAnsi="Arial" w:cs="Arial"/>
                <w:b/>
                <w:bCs/>
                <w:i/>
                <w:iCs/>
                <w:sz w:val="24"/>
                <w:szCs w:val="24"/>
                <w:lang w:val="it-IT"/>
              </w:rPr>
              <w:tab/>
              <w:t xml:space="preserve">Si condivide l’orientamento di prevedere un intervallo di valori più ampio per il parametro </w:t>
            </w:r>
            <w:proofErr w:type="spellStart"/>
            <w:r w:rsidRPr="00D27403">
              <w:rPr>
                <w:rFonts w:ascii="Arial" w:hAnsi="Arial" w:cs="Arial"/>
                <w:b/>
                <w:bCs/>
                <w:i/>
                <w:iCs/>
                <w:sz w:val="24"/>
                <w:szCs w:val="24"/>
                <w:lang w:val="it-IT"/>
              </w:rPr>
              <w:t>QLa</w:t>
            </w:r>
            <w:proofErr w:type="spellEnd"/>
            <w:r w:rsidRPr="00D27403">
              <w:rPr>
                <w:rFonts w:ascii="Arial" w:hAnsi="Arial" w:cs="Arial"/>
                <w:b/>
                <w:bCs/>
                <w:i/>
                <w:iCs/>
                <w:sz w:val="24"/>
                <w:szCs w:val="24"/>
                <w:lang w:val="it-IT"/>
              </w:rPr>
              <w:t xml:space="preserve"> in considerazione degli obiettivi di adeguamento ai nuovi standard di qualità che verranno introdotti dall’Autorità secondo quanto prospettato nel documento per la consultazione 72/2021/R/RIF? Motivare la risposta.</w:t>
            </w:r>
          </w:p>
          <w:p w14:paraId="6862B5FC" w14:textId="0B6DAFE8"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0A02078A" w14:textId="77777777" w:rsidR="00F10896" w:rsidRPr="00D27403" w:rsidRDefault="00F10896" w:rsidP="00D27403">
            <w:pPr>
              <w:jc w:val="both"/>
              <w:rPr>
                <w:rFonts w:ascii="Arial" w:hAnsi="Arial" w:cs="Arial"/>
                <w:b/>
                <w:bCs/>
                <w:i/>
                <w:iCs/>
                <w:sz w:val="24"/>
                <w:szCs w:val="24"/>
                <w:lang w:val="it-IT"/>
              </w:rPr>
            </w:pPr>
          </w:p>
          <w:p w14:paraId="27B220A1" w14:textId="23508C39"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Q30.</w:t>
            </w:r>
            <w:r w:rsidRPr="00D27403">
              <w:rPr>
                <w:rFonts w:ascii="Arial" w:hAnsi="Arial" w:cs="Arial"/>
                <w:b/>
                <w:bCs/>
                <w:i/>
                <w:iCs/>
                <w:sz w:val="24"/>
                <w:szCs w:val="24"/>
                <w:lang w:val="it-IT"/>
              </w:rPr>
              <w:tab/>
              <w:t>Quali ulteriori elementi si ritiene utile suggerire ai fini della formulazione del limite alla crescita delle entrate tariffarie? Motivare la risposta.</w:t>
            </w:r>
          </w:p>
          <w:p w14:paraId="64203E39" w14:textId="65646C83"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7CEC4A8D" w14:textId="4682B37B" w:rsidR="00D27403" w:rsidRPr="0038085D" w:rsidRDefault="00D27403" w:rsidP="00DB5ADE">
            <w:pPr>
              <w:jc w:val="both"/>
              <w:rPr>
                <w:rFonts w:ascii="Arial" w:hAnsi="Arial" w:cs="Arial"/>
                <w:sz w:val="24"/>
                <w:szCs w:val="24"/>
                <w:lang w:val="it-IT"/>
              </w:rPr>
            </w:pPr>
          </w:p>
        </w:tc>
      </w:tr>
    </w:tbl>
    <w:p w14:paraId="7D1F1E8E" w14:textId="546EA575" w:rsidR="00D27403" w:rsidRDefault="00D27403" w:rsidP="00D27403">
      <w:pPr>
        <w:jc w:val="both"/>
        <w:rPr>
          <w:rFonts w:ascii="Arial" w:hAnsi="Arial" w:cs="Arial"/>
          <w:b/>
          <w:bCs/>
          <w:i/>
          <w:iCs/>
          <w:sz w:val="24"/>
          <w:szCs w:val="24"/>
          <w:lang w:val="it-IT"/>
        </w:rPr>
      </w:pPr>
    </w:p>
    <w:tbl>
      <w:tblPr>
        <w:tblStyle w:val="Grigliatabella"/>
        <w:tblW w:w="0" w:type="auto"/>
        <w:tblLook w:val="04A0" w:firstRow="1" w:lastRow="0" w:firstColumn="1" w:lastColumn="0" w:noHBand="0" w:noVBand="1"/>
      </w:tblPr>
      <w:tblGrid>
        <w:gridCol w:w="9350"/>
      </w:tblGrid>
      <w:tr w:rsidR="00D27403" w14:paraId="55D104A9" w14:textId="77777777" w:rsidTr="00D27403">
        <w:tc>
          <w:tcPr>
            <w:tcW w:w="9350" w:type="dxa"/>
          </w:tcPr>
          <w:p w14:paraId="33CE663A" w14:textId="4CA2C287"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Q31.</w:t>
            </w:r>
            <w:r w:rsidRPr="00D27403">
              <w:rPr>
                <w:rFonts w:ascii="Arial" w:hAnsi="Arial" w:cs="Arial"/>
                <w:b/>
                <w:bCs/>
                <w:i/>
                <w:iCs/>
                <w:sz w:val="24"/>
                <w:szCs w:val="24"/>
                <w:lang w:val="it-IT"/>
              </w:rPr>
              <w:tab/>
              <w:t>Si condivide l’orientamento di confermare i criteri per la definizione della matrice di schemi per la determinazione del limite alla crescita annuale delle entrate tariffarie? Motivare la risposta.</w:t>
            </w:r>
          </w:p>
          <w:p w14:paraId="1B0D99E6" w14:textId="0AE7EBB7"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7E4A6FE4" w14:textId="77777777" w:rsidR="00F10896" w:rsidRPr="00D27403" w:rsidRDefault="00F10896" w:rsidP="00D27403">
            <w:pPr>
              <w:jc w:val="both"/>
              <w:rPr>
                <w:rFonts w:ascii="Arial" w:hAnsi="Arial" w:cs="Arial"/>
                <w:b/>
                <w:bCs/>
                <w:i/>
                <w:iCs/>
                <w:sz w:val="24"/>
                <w:szCs w:val="24"/>
                <w:lang w:val="it-IT"/>
              </w:rPr>
            </w:pPr>
          </w:p>
          <w:p w14:paraId="1034880E" w14:textId="42D85D10"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Q32.</w:t>
            </w:r>
            <w:r w:rsidRPr="00D27403">
              <w:rPr>
                <w:rFonts w:ascii="Arial" w:hAnsi="Arial" w:cs="Arial"/>
                <w:b/>
                <w:bCs/>
                <w:i/>
                <w:iCs/>
                <w:sz w:val="24"/>
                <w:szCs w:val="24"/>
                <w:lang w:val="it-IT"/>
              </w:rPr>
              <w:tab/>
              <w:t>Si condividono i valori proposti dall’Autorità con riferimento ai coefficienti che rilevano ai fini dell’individuazione del limite alla crescita annuale delle entrate tariffarie? Motivare la risposta.</w:t>
            </w:r>
          </w:p>
          <w:p w14:paraId="0176FFAA" w14:textId="6391881B" w:rsidR="00D27403" w:rsidRP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4A54316A" w14:textId="09D80581"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Q33.</w:t>
            </w:r>
            <w:r w:rsidRPr="00D27403">
              <w:rPr>
                <w:rFonts w:ascii="Arial" w:hAnsi="Arial" w:cs="Arial"/>
                <w:b/>
                <w:bCs/>
                <w:i/>
                <w:iCs/>
                <w:sz w:val="24"/>
                <w:szCs w:val="24"/>
                <w:lang w:val="it-IT"/>
              </w:rPr>
              <w:tab/>
              <w:t>Si condivide l’orientamento di prevedere la predisposizione di un piano economico finanziario pluriennale, al fine di garantire il recupero graduale dei costi efficienti sostenuti dal gestore, ivi inclusi i conguagli, in un’ottica di sostenibilità della tariffa? Motivare la risposta.</w:t>
            </w:r>
          </w:p>
          <w:p w14:paraId="0DA714CB" w14:textId="3F57D871"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281731D5" w14:textId="77777777" w:rsidR="00F10896" w:rsidRPr="00D27403" w:rsidRDefault="00F10896" w:rsidP="00D27403">
            <w:pPr>
              <w:jc w:val="both"/>
              <w:rPr>
                <w:rFonts w:ascii="Arial" w:hAnsi="Arial" w:cs="Arial"/>
                <w:b/>
                <w:bCs/>
                <w:i/>
                <w:iCs/>
                <w:sz w:val="24"/>
                <w:szCs w:val="24"/>
                <w:lang w:val="it-IT"/>
              </w:rPr>
            </w:pPr>
          </w:p>
          <w:p w14:paraId="53473101" w14:textId="77777777" w:rsidR="00D27403" w:rsidRDefault="00D27403" w:rsidP="00D27403">
            <w:pPr>
              <w:jc w:val="both"/>
              <w:rPr>
                <w:rFonts w:ascii="Arial" w:hAnsi="Arial" w:cs="Arial"/>
                <w:b/>
                <w:bCs/>
                <w:i/>
                <w:iCs/>
                <w:sz w:val="24"/>
                <w:szCs w:val="24"/>
                <w:lang w:val="it-IT"/>
              </w:rPr>
            </w:pPr>
            <w:r w:rsidRPr="00D27403">
              <w:rPr>
                <w:rFonts w:ascii="Arial" w:hAnsi="Arial" w:cs="Arial"/>
                <w:b/>
                <w:bCs/>
                <w:i/>
                <w:iCs/>
                <w:sz w:val="24"/>
                <w:szCs w:val="24"/>
                <w:lang w:val="it-IT"/>
              </w:rPr>
              <w:t>Q34.</w:t>
            </w:r>
            <w:r w:rsidRPr="00D27403">
              <w:rPr>
                <w:rFonts w:ascii="Arial" w:hAnsi="Arial" w:cs="Arial"/>
                <w:b/>
                <w:bCs/>
                <w:i/>
                <w:iCs/>
                <w:sz w:val="24"/>
                <w:szCs w:val="24"/>
                <w:lang w:val="it-IT"/>
              </w:rPr>
              <w:tab/>
              <w:t>Oltre a richiedere alle parti interessate le verifiche in ordine all’equilibro economico finanziario, quali ulteriori indicatori si ritiene utile individuare per le necessarie verifiche? La previsione di corredare il PEF con una relazione - redatta da soggetti terzi specializzati - recante le valutazioni sulla condizione di equilibrio economico finanziario della gestione potrebbe contribuire ai necessari approfondimenti? Motivare la risposta.</w:t>
            </w:r>
          </w:p>
          <w:p w14:paraId="43D1AFDE" w14:textId="77777777" w:rsidR="00D27403" w:rsidRDefault="00D27403" w:rsidP="00D27403">
            <w:pPr>
              <w:jc w:val="both"/>
              <w:rPr>
                <w:rFonts w:ascii="Arial" w:hAnsi="Arial" w:cs="Arial"/>
                <w:b/>
                <w:bCs/>
                <w:i/>
                <w:iCs/>
                <w:sz w:val="24"/>
                <w:szCs w:val="24"/>
                <w:lang w:val="it-IT"/>
              </w:rPr>
            </w:pPr>
            <w:r>
              <w:rPr>
                <w:rFonts w:ascii="Arial" w:hAnsi="Arial" w:cs="Arial"/>
                <w:b/>
                <w:bCs/>
                <w:i/>
                <w:iCs/>
                <w:sz w:val="24"/>
                <w:szCs w:val="24"/>
                <w:lang w:val="it-IT"/>
              </w:rPr>
              <w:t>…</w:t>
            </w:r>
          </w:p>
          <w:p w14:paraId="2652E968" w14:textId="1CDF767F" w:rsidR="00F10896" w:rsidRDefault="00F10896" w:rsidP="00D27403">
            <w:pPr>
              <w:jc w:val="both"/>
              <w:rPr>
                <w:rFonts w:ascii="Arial" w:hAnsi="Arial" w:cs="Arial"/>
                <w:b/>
                <w:bCs/>
                <w:i/>
                <w:iCs/>
                <w:sz w:val="24"/>
                <w:szCs w:val="24"/>
                <w:lang w:val="it-IT"/>
              </w:rPr>
            </w:pPr>
          </w:p>
        </w:tc>
      </w:tr>
    </w:tbl>
    <w:p w14:paraId="0871E31E" w14:textId="4BE72263" w:rsidR="00D27403" w:rsidRDefault="00D27403" w:rsidP="00D27403">
      <w:pPr>
        <w:jc w:val="both"/>
        <w:rPr>
          <w:rFonts w:ascii="Arial" w:hAnsi="Arial" w:cs="Arial"/>
          <w:b/>
          <w:bCs/>
          <w:i/>
          <w:iCs/>
          <w:sz w:val="24"/>
          <w:szCs w:val="24"/>
          <w:lang w:val="it-IT"/>
        </w:rPr>
      </w:pPr>
    </w:p>
    <w:tbl>
      <w:tblPr>
        <w:tblStyle w:val="Grigliatabella"/>
        <w:tblW w:w="0" w:type="auto"/>
        <w:tblLook w:val="04A0" w:firstRow="1" w:lastRow="0" w:firstColumn="1" w:lastColumn="0" w:noHBand="0" w:noVBand="1"/>
      </w:tblPr>
      <w:tblGrid>
        <w:gridCol w:w="9350"/>
      </w:tblGrid>
      <w:tr w:rsidR="00D27403" w14:paraId="15BFB2A6" w14:textId="77777777" w:rsidTr="00D27403">
        <w:tc>
          <w:tcPr>
            <w:tcW w:w="9350" w:type="dxa"/>
          </w:tcPr>
          <w:p w14:paraId="17D406C1" w14:textId="77777777" w:rsidR="00D27403" w:rsidRDefault="00D27403" w:rsidP="00390366">
            <w:pPr>
              <w:jc w:val="both"/>
              <w:rPr>
                <w:rFonts w:ascii="Arial" w:hAnsi="Arial" w:cs="Arial"/>
                <w:b/>
                <w:bCs/>
                <w:i/>
                <w:iCs/>
                <w:sz w:val="24"/>
                <w:szCs w:val="24"/>
                <w:lang w:val="it-IT"/>
              </w:rPr>
            </w:pPr>
            <w:r>
              <w:rPr>
                <w:rFonts w:ascii="Arial" w:hAnsi="Arial" w:cs="Arial"/>
                <w:b/>
                <w:bCs/>
                <w:i/>
                <w:iCs/>
                <w:sz w:val="24"/>
                <w:szCs w:val="24"/>
                <w:lang w:val="it-IT"/>
              </w:rPr>
              <w:t xml:space="preserve">Q35. </w:t>
            </w:r>
            <w:r w:rsidRPr="00D27403">
              <w:rPr>
                <w:rFonts w:ascii="Arial" w:hAnsi="Arial" w:cs="Arial"/>
                <w:b/>
                <w:bCs/>
                <w:i/>
                <w:iCs/>
                <w:sz w:val="24"/>
                <w:szCs w:val="24"/>
                <w:lang w:val="it-IT"/>
              </w:rPr>
              <w:t>Si condivide l’ipotesi di determinare il valore di subentro sulla base del valore residuo dei conguagli maturati dal gestore uscente e degli investimenti sostenuti dal medesimo? Motivare la risposta.</w:t>
            </w:r>
          </w:p>
          <w:p w14:paraId="4C73E908" w14:textId="2E038696" w:rsidR="00D27403" w:rsidRDefault="00D27403" w:rsidP="00390366">
            <w:pPr>
              <w:jc w:val="both"/>
              <w:rPr>
                <w:rFonts w:ascii="Arial" w:hAnsi="Arial" w:cs="Arial"/>
                <w:b/>
                <w:bCs/>
                <w:i/>
                <w:iCs/>
                <w:sz w:val="24"/>
                <w:szCs w:val="24"/>
                <w:lang w:val="it-IT"/>
              </w:rPr>
            </w:pPr>
            <w:r>
              <w:rPr>
                <w:rFonts w:ascii="Arial" w:hAnsi="Arial" w:cs="Arial"/>
                <w:b/>
                <w:bCs/>
                <w:i/>
                <w:iCs/>
                <w:sz w:val="24"/>
                <w:szCs w:val="24"/>
                <w:lang w:val="it-IT"/>
              </w:rPr>
              <w:t>…</w:t>
            </w:r>
          </w:p>
        </w:tc>
      </w:tr>
    </w:tbl>
    <w:p w14:paraId="129484DC" w14:textId="38575658" w:rsidR="00D27403" w:rsidRDefault="00D27403" w:rsidP="00390366">
      <w:pPr>
        <w:jc w:val="both"/>
        <w:rPr>
          <w:rFonts w:ascii="Arial" w:hAnsi="Arial" w:cs="Arial"/>
          <w:b/>
          <w:bCs/>
          <w:i/>
          <w:iCs/>
          <w:sz w:val="24"/>
          <w:szCs w:val="24"/>
          <w:lang w:val="it-IT"/>
        </w:rPr>
      </w:pPr>
    </w:p>
    <w:p w14:paraId="09984AA9" w14:textId="0BB90025" w:rsidR="00D27403" w:rsidRPr="00D27403" w:rsidRDefault="00D27403" w:rsidP="00390366">
      <w:pPr>
        <w:jc w:val="both"/>
        <w:rPr>
          <w:rFonts w:ascii="Arial" w:hAnsi="Arial" w:cs="Arial"/>
          <w:b/>
          <w:bCs/>
          <w:color w:val="0070C0"/>
          <w:sz w:val="24"/>
          <w:szCs w:val="24"/>
          <w:lang w:val="it-IT"/>
        </w:rPr>
      </w:pPr>
      <w:r w:rsidRPr="00D27403">
        <w:rPr>
          <w:rFonts w:ascii="Arial" w:hAnsi="Arial" w:cs="Arial"/>
          <w:b/>
          <w:bCs/>
          <w:color w:val="0070C0"/>
          <w:sz w:val="24"/>
          <w:szCs w:val="24"/>
          <w:lang w:val="it-IT"/>
        </w:rPr>
        <w:t>Elementi procedurali</w:t>
      </w:r>
    </w:p>
    <w:tbl>
      <w:tblPr>
        <w:tblStyle w:val="Grigliatabella"/>
        <w:tblW w:w="0" w:type="auto"/>
        <w:tblLook w:val="04A0" w:firstRow="1" w:lastRow="0" w:firstColumn="1" w:lastColumn="0" w:noHBand="0" w:noVBand="1"/>
      </w:tblPr>
      <w:tblGrid>
        <w:gridCol w:w="9350"/>
      </w:tblGrid>
      <w:tr w:rsidR="00D27403" w14:paraId="1EB582AC" w14:textId="77777777" w:rsidTr="00D27403">
        <w:tc>
          <w:tcPr>
            <w:tcW w:w="9350" w:type="dxa"/>
          </w:tcPr>
          <w:p w14:paraId="46E03856" w14:textId="49D90C47" w:rsidR="00F10896" w:rsidRDefault="00F10896" w:rsidP="00F10896">
            <w:pPr>
              <w:jc w:val="both"/>
              <w:rPr>
                <w:rFonts w:ascii="Arial" w:hAnsi="Arial" w:cs="Arial"/>
                <w:b/>
                <w:bCs/>
                <w:i/>
                <w:iCs/>
                <w:sz w:val="24"/>
                <w:szCs w:val="24"/>
                <w:lang w:val="it-IT"/>
              </w:rPr>
            </w:pPr>
            <w:r w:rsidRPr="00F10896">
              <w:rPr>
                <w:rFonts w:ascii="Arial" w:hAnsi="Arial" w:cs="Arial"/>
                <w:b/>
                <w:bCs/>
                <w:i/>
                <w:iCs/>
                <w:sz w:val="24"/>
                <w:szCs w:val="24"/>
                <w:lang w:val="it-IT"/>
              </w:rPr>
              <w:t>Q36.</w:t>
            </w:r>
            <w:r w:rsidRPr="00F10896">
              <w:rPr>
                <w:rFonts w:ascii="Arial" w:hAnsi="Arial" w:cs="Arial"/>
                <w:b/>
                <w:bCs/>
                <w:i/>
                <w:iCs/>
                <w:sz w:val="24"/>
                <w:szCs w:val="24"/>
                <w:lang w:val="it-IT"/>
              </w:rPr>
              <w:tab/>
              <w:t>Si condivide l’orientamento di prevedere la predisposizione di un piano economico finanziario pluriennale, al fine di garantire il recupero graduale dei costi efficienti sostenuti dal gestore in un’ottica di sostenibilità finanziaria della tariffa? Motivare la risposta</w:t>
            </w:r>
          </w:p>
          <w:p w14:paraId="26B8D9EF" w14:textId="5E54A74C" w:rsidR="00F10896" w:rsidRDefault="00F10896" w:rsidP="00F10896">
            <w:pPr>
              <w:jc w:val="both"/>
              <w:rPr>
                <w:rFonts w:ascii="Arial" w:hAnsi="Arial" w:cs="Arial"/>
                <w:b/>
                <w:bCs/>
                <w:i/>
                <w:iCs/>
                <w:sz w:val="24"/>
                <w:szCs w:val="24"/>
                <w:lang w:val="it-IT"/>
              </w:rPr>
            </w:pPr>
            <w:r>
              <w:rPr>
                <w:rFonts w:ascii="Arial" w:hAnsi="Arial" w:cs="Arial"/>
                <w:b/>
                <w:bCs/>
                <w:i/>
                <w:iCs/>
                <w:sz w:val="24"/>
                <w:szCs w:val="24"/>
                <w:lang w:val="it-IT"/>
              </w:rPr>
              <w:t>…</w:t>
            </w:r>
          </w:p>
          <w:p w14:paraId="70A2EBAB" w14:textId="77777777" w:rsidR="00F10896" w:rsidRPr="00F10896" w:rsidRDefault="00F10896" w:rsidP="00F10896">
            <w:pPr>
              <w:jc w:val="both"/>
              <w:rPr>
                <w:rFonts w:ascii="Arial" w:hAnsi="Arial" w:cs="Arial"/>
                <w:b/>
                <w:bCs/>
                <w:i/>
                <w:iCs/>
                <w:sz w:val="24"/>
                <w:szCs w:val="24"/>
                <w:lang w:val="it-IT"/>
              </w:rPr>
            </w:pPr>
          </w:p>
          <w:p w14:paraId="22DE081F" w14:textId="3A30E9D6" w:rsidR="00F10896" w:rsidRDefault="00F10896" w:rsidP="00F10896">
            <w:pPr>
              <w:jc w:val="both"/>
              <w:rPr>
                <w:rFonts w:ascii="Arial" w:hAnsi="Arial" w:cs="Arial"/>
                <w:b/>
                <w:bCs/>
                <w:i/>
                <w:iCs/>
                <w:sz w:val="24"/>
                <w:szCs w:val="24"/>
                <w:lang w:val="it-IT"/>
              </w:rPr>
            </w:pPr>
            <w:r w:rsidRPr="00F10896">
              <w:rPr>
                <w:rFonts w:ascii="Arial" w:hAnsi="Arial" w:cs="Arial"/>
                <w:b/>
                <w:bCs/>
                <w:i/>
                <w:iCs/>
                <w:sz w:val="24"/>
                <w:szCs w:val="24"/>
                <w:lang w:val="it-IT"/>
              </w:rPr>
              <w:t>Q37.</w:t>
            </w:r>
            <w:r w:rsidRPr="00F10896">
              <w:rPr>
                <w:rFonts w:ascii="Arial" w:hAnsi="Arial" w:cs="Arial"/>
                <w:b/>
                <w:bCs/>
                <w:i/>
                <w:iCs/>
                <w:sz w:val="24"/>
                <w:szCs w:val="24"/>
                <w:lang w:val="it-IT"/>
              </w:rPr>
              <w:tab/>
              <w:t>Si condividono le proposte di integrazione del PEF in relazione ai gestori degli impianti di trattamento e smaltimento? Si ritengono esaustive le integrazioni prospettate? Motivare la risposta</w:t>
            </w:r>
          </w:p>
          <w:p w14:paraId="01877922" w14:textId="3537EFE4" w:rsidR="00F10896" w:rsidRDefault="00F10896" w:rsidP="00F10896">
            <w:pPr>
              <w:jc w:val="both"/>
              <w:rPr>
                <w:rFonts w:ascii="Arial" w:hAnsi="Arial" w:cs="Arial"/>
                <w:b/>
                <w:bCs/>
                <w:i/>
                <w:iCs/>
                <w:sz w:val="24"/>
                <w:szCs w:val="24"/>
                <w:lang w:val="it-IT"/>
              </w:rPr>
            </w:pPr>
            <w:r>
              <w:rPr>
                <w:rFonts w:ascii="Arial" w:hAnsi="Arial" w:cs="Arial"/>
                <w:b/>
                <w:bCs/>
                <w:i/>
                <w:iCs/>
                <w:sz w:val="24"/>
                <w:szCs w:val="24"/>
                <w:lang w:val="it-IT"/>
              </w:rPr>
              <w:t>…</w:t>
            </w:r>
          </w:p>
          <w:p w14:paraId="3DFABF8A" w14:textId="77777777" w:rsidR="00F10896" w:rsidRPr="00F10896" w:rsidRDefault="00F10896" w:rsidP="00F10896">
            <w:pPr>
              <w:jc w:val="both"/>
              <w:rPr>
                <w:rFonts w:ascii="Arial" w:hAnsi="Arial" w:cs="Arial"/>
                <w:b/>
                <w:bCs/>
                <w:i/>
                <w:iCs/>
                <w:sz w:val="24"/>
                <w:szCs w:val="24"/>
                <w:lang w:val="it-IT"/>
              </w:rPr>
            </w:pPr>
          </w:p>
          <w:p w14:paraId="27234F28" w14:textId="77777777" w:rsidR="00D27403" w:rsidRDefault="00F10896" w:rsidP="00F10896">
            <w:pPr>
              <w:jc w:val="both"/>
              <w:rPr>
                <w:rFonts w:ascii="Arial" w:hAnsi="Arial" w:cs="Arial"/>
                <w:b/>
                <w:bCs/>
                <w:i/>
                <w:iCs/>
                <w:sz w:val="24"/>
                <w:szCs w:val="24"/>
                <w:lang w:val="it-IT"/>
              </w:rPr>
            </w:pPr>
            <w:r w:rsidRPr="00F10896">
              <w:rPr>
                <w:rFonts w:ascii="Arial" w:hAnsi="Arial" w:cs="Arial"/>
                <w:b/>
                <w:bCs/>
                <w:i/>
                <w:iCs/>
                <w:sz w:val="24"/>
                <w:szCs w:val="24"/>
                <w:lang w:val="it-IT"/>
              </w:rPr>
              <w:t>Q38.</w:t>
            </w:r>
            <w:r w:rsidRPr="00F10896">
              <w:rPr>
                <w:rFonts w:ascii="Arial" w:hAnsi="Arial" w:cs="Arial"/>
                <w:b/>
                <w:bCs/>
                <w:i/>
                <w:iCs/>
                <w:sz w:val="24"/>
                <w:szCs w:val="24"/>
                <w:lang w:val="it-IT"/>
              </w:rPr>
              <w:tab/>
              <w:t>Si condivide l’ipotesi di valorizzare il confronto tra i gestori e gli Enti territorialmente competenti, al fine di favorire la sostenibilità finanziaria della gestione? Motivare la risposta</w:t>
            </w:r>
          </w:p>
          <w:p w14:paraId="3C04F058" w14:textId="77777777" w:rsidR="00F10896" w:rsidRDefault="00F10896" w:rsidP="00F10896">
            <w:pPr>
              <w:jc w:val="both"/>
              <w:rPr>
                <w:rFonts w:ascii="Arial" w:hAnsi="Arial" w:cs="Arial"/>
                <w:b/>
                <w:bCs/>
                <w:i/>
                <w:iCs/>
                <w:sz w:val="24"/>
                <w:szCs w:val="24"/>
                <w:lang w:val="it-IT"/>
              </w:rPr>
            </w:pPr>
            <w:r>
              <w:rPr>
                <w:rFonts w:ascii="Arial" w:hAnsi="Arial" w:cs="Arial"/>
                <w:b/>
                <w:bCs/>
                <w:i/>
                <w:iCs/>
                <w:sz w:val="24"/>
                <w:szCs w:val="24"/>
                <w:lang w:val="it-IT"/>
              </w:rPr>
              <w:t>…</w:t>
            </w:r>
          </w:p>
          <w:p w14:paraId="570966B1" w14:textId="5792F66F" w:rsidR="00F10896" w:rsidRDefault="00F10896" w:rsidP="00F10896">
            <w:pPr>
              <w:jc w:val="both"/>
              <w:rPr>
                <w:rFonts w:ascii="Arial" w:hAnsi="Arial" w:cs="Arial"/>
                <w:b/>
                <w:bCs/>
                <w:i/>
                <w:iCs/>
                <w:sz w:val="24"/>
                <w:szCs w:val="24"/>
                <w:lang w:val="it-IT"/>
              </w:rPr>
            </w:pPr>
          </w:p>
        </w:tc>
      </w:tr>
    </w:tbl>
    <w:p w14:paraId="78FFAAEA" w14:textId="7357B5E7" w:rsidR="00D27403" w:rsidRDefault="00D27403" w:rsidP="00390366">
      <w:pPr>
        <w:jc w:val="both"/>
        <w:rPr>
          <w:rFonts w:ascii="Arial" w:hAnsi="Arial" w:cs="Arial"/>
          <w:b/>
          <w:bCs/>
          <w:i/>
          <w:iCs/>
          <w:sz w:val="24"/>
          <w:szCs w:val="24"/>
          <w:lang w:val="it-IT"/>
        </w:rPr>
      </w:pPr>
    </w:p>
    <w:tbl>
      <w:tblPr>
        <w:tblStyle w:val="Grigliatabella"/>
        <w:tblW w:w="0" w:type="auto"/>
        <w:tblLook w:val="04A0" w:firstRow="1" w:lastRow="0" w:firstColumn="1" w:lastColumn="0" w:noHBand="0" w:noVBand="1"/>
      </w:tblPr>
      <w:tblGrid>
        <w:gridCol w:w="9350"/>
      </w:tblGrid>
      <w:tr w:rsidR="00F10896" w14:paraId="58C9F52A" w14:textId="77777777" w:rsidTr="00F10896">
        <w:tc>
          <w:tcPr>
            <w:tcW w:w="9350" w:type="dxa"/>
          </w:tcPr>
          <w:p w14:paraId="23ED249C" w14:textId="555912B7" w:rsidR="00F10896" w:rsidRDefault="00F10896" w:rsidP="00F10896">
            <w:pPr>
              <w:jc w:val="both"/>
              <w:rPr>
                <w:rFonts w:ascii="Arial" w:hAnsi="Arial" w:cs="Arial"/>
                <w:b/>
                <w:bCs/>
                <w:i/>
                <w:iCs/>
                <w:sz w:val="24"/>
                <w:szCs w:val="24"/>
                <w:lang w:val="it-IT"/>
              </w:rPr>
            </w:pPr>
            <w:r w:rsidRPr="00F10896">
              <w:rPr>
                <w:rFonts w:ascii="Arial" w:hAnsi="Arial" w:cs="Arial"/>
                <w:b/>
                <w:bCs/>
                <w:i/>
                <w:iCs/>
                <w:sz w:val="24"/>
                <w:szCs w:val="24"/>
                <w:lang w:val="it-IT"/>
              </w:rPr>
              <w:t>Q39.</w:t>
            </w:r>
            <w:r w:rsidRPr="00F10896">
              <w:rPr>
                <w:rFonts w:ascii="Arial" w:hAnsi="Arial" w:cs="Arial"/>
                <w:b/>
                <w:bCs/>
                <w:i/>
                <w:iCs/>
                <w:sz w:val="24"/>
                <w:szCs w:val="24"/>
                <w:lang w:val="it-IT"/>
              </w:rPr>
              <w:tab/>
              <w:t>Si condivide la proposta di maggiore responsabilizzazione degli Enti territorialmente competenti nella fase di prima attivazione dei meccanismi di garanzia? Motivare la risposta</w:t>
            </w:r>
          </w:p>
          <w:p w14:paraId="552FCE5F" w14:textId="248528A7" w:rsidR="00F10896" w:rsidRDefault="00F10896" w:rsidP="00F10896">
            <w:pPr>
              <w:jc w:val="both"/>
              <w:rPr>
                <w:rFonts w:ascii="Arial" w:hAnsi="Arial" w:cs="Arial"/>
                <w:b/>
                <w:bCs/>
                <w:i/>
                <w:iCs/>
                <w:sz w:val="24"/>
                <w:szCs w:val="24"/>
                <w:lang w:val="it-IT"/>
              </w:rPr>
            </w:pPr>
            <w:r>
              <w:rPr>
                <w:rFonts w:ascii="Arial" w:hAnsi="Arial" w:cs="Arial"/>
                <w:b/>
                <w:bCs/>
                <w:i/>
                <w:iCs/>
                <w:sz w:val="24"/>
                <w:szCs w:val="24"/>
                <w:lang w:val="it-IT"/>
              </w:rPr>
              <w:t>…</w:t>
            </w:r>
          </w:p>
          <w:p w14:paraId="2375497D" w14:textId="77777777" w:rsidR="00F10896" w:rsidRPr="00F10896" w:rsidRDefault="00F10896" w:rsidP="00F10896">
            <w:pPr>
              <w:jc w:val="both"/>
              <w:rPr>
                <w:rFonts w:ascii="Arial" w:hAnsi="Arial" w:cs="Arial"/>
                <w:b/>
                <w:bCs/>
                <w:i/>
                <w:iCs/>
                <w:sz w:val="24"/>
                <w:szCs w:val="24"/>
                <w:lang w:val="it-IT"/>
              </w:rPr>
            </w:pPr>
          </w:p>
          <w:p w14:paraId="5BA231BD" w14:textId="693F7C3C" w:rsidR="00F10896" w:rsidRDefault="00F10896" w:rsidP="00F10896">
            <w:pPr>
              <w:jc w:val="both"/>
              <w:rPr>
                <w:rFonts w:ascii="Arial" w:hAnsi="Arial" w:cs="Arial"/>
                <w:b/>
                <w:bCs/>
                <w:i/>
                <w:iCs/>
                <w:sz w:val="24"/>
                <w:szCs w:val="24"/>
                <w:lang w:val="it-IT"/>
              </w:rPr>
            </w:pPr>
            <w:r w:rsidRPr="00F10896">
              <w:rPr>
                <w:rFonts w:ascii="Arial" w:hAnsi="Arial" w:cs="Arial"/>
                <w:b/>
                <w:bCs/>
                <w:i/>
                <w:iCs/>
                <w:sz w:val="24"/>
                <w:szCs w:val="24"/>
                <w:lang w:val="it-IT"/>
              </w:rPr>
              <w:t>Q40.</w:t>
            </w:r>
            <w:r w:rsidRPr="00F10896">
              <w:rPr>
                <w:rFonts w:ascii="Arial" w:hAnsi="Arial" w:cs="Arial"/>
                <w:b/>
                <w:bCs/>
                <w:i/>
                <w:iCs/>
                <w:sz w:val="24"/>
                <w:szCs w:val="24"/>
                <w:lang w:val="it-IT"/>
              </w:rPr>
              <w:tab/>
              <w:t>Si condivide l’orientamento di semplificazione della procedura di approvazione delle entrate tariffarie di riferimento? Motivare la risposta.</w:t>
            </w:r>
          </w:p>
          <w:p w14:paraId="438E0222" w14:textId="65910A70" w:rsidR="00F10896" w:rsidRDefault="00F10896" w:rsidP="00F10896">
            <w:pPr>
              <w:jc w:val="both"/>
              <w:rPr>
                <w:rFonts w:ascii="Arial" w:hAnsi="Arial" w:cs="Arial"/>
                <w:b/>
                <w:bCs/>
                <w:i/>
                <w:iCs/>
                <w:sz w:val="24"/>
                <w:szCs w:val="24"/>
                <w:lang w:val="it-IT"/>
              </w:rPr>
            </w:pPr>
            <w:r>
              <w:rPr>
                <w:rFonts w:ascii="Arial" w:hAnsi="Arial" w:cs="Arial"/>
                <w:b/>
                <w:bCs/>
                <w:i/>
                <w:iCs/>
                <w:sz w:val="24"/>
                <w:szCs w:val="24"/>
                <w:lang w:val="it-IT"/>
              </w:rPr>
              <w:t>…</w:t>
            </w:r>
          </w:p>
          <w:p w14:paraId="084A5637" w14:textId="77777777" w:rsidR="00F10896" w:rsidRPr="00F10896" w:rsidRDefault="00F10896" w:rsidP="00F10896">
            <w:pPr>
              <w:jc w:val="both"/>
              <w:rPr>
                <w:rFonts w:ascii="Arial" w:hAnsi="Arial" w:cs="Arial"/>
                <w:b/>
                <w:bCs/>
                <w:i/>
                <w:iCs/>
                <w:sz w:val="24"/>
                <w:szCs w:val="24"/>
                <w:lang w:val="it-IT"/>
              </w:rPr>
            </w:pPr>
          </w:p>
          <w:p w14:paraId="7391226C" w14:textId="77777777" w:rsidR="00F10896" w:rsidRDefault="00F10896" w:rsidP="00F10896">
            <w:pPr>
              <w:jc w:val="both"/>
              <w:rPr>
                <w:rFonts w:ascii="Arial" w:hAnsi="Arial" w:cs="Arial"/>
                <w:b/>
                <w:bCs/>
                <w:i/>
                <w:iCs/>
                <w:sz w:val="24"/>
                <w:szCs w:val="24"/>
                <w:lang w:val="it-IT"/>
              </w:rPr>
            </w:pPr>
            <w:r w:rsidRPr="00F10896">
              <w:rPr>
                <w:rFonts w:ascii="Arial" w:hAnsi="Arial" w:cs="Arial"/>
                <w:b/>
                <w:bCs/>
                <w:i/>
                <w:iCs/>
                <w:sz w:val="24"/>
                <w:szCs w:val="24"/>
                <w:lang w:val="it-IT"/>
              </w:rPr>
              <w:t>Q41.</w:t>
            </w:r>
            <w:r w:rsidRPr="00F10896">
              <w:rPr>
                <w:rFonts w:ascii="Arial" w:hAnsi="Arial" w:cs="Arial"/>
                <w:b/>
                <w:bCs/>
                <w:i/>
                <w:iCs/>
                <w:sz w:val="24"/>
                <w:szCs w:val="24"/>
                <w:lang w:val="it-IT"/>
              </w:rPr>
              <w:tab/>
              <w:t>Con riferimento alle recenti modifiche normative introdotte dal decreto legislativo 116/2020 si condivide l’ipotesi di disciplinare le procedure di fuoriuscita e rientro nel servizio pubblico? In caso di risposta affermativa quali interventi si ritengono prioritari? Motivare le risposta.</w:t>
            </w:r>
          </w:p>
          <w:p w14:paraId="5C8E43C0" w14:textId="19641F6C" w:rsidR="00F10896" w:rsidRDefault="00F10896" w:rsidP="00F10896">
            <w:pPr>
              <w:jc w:val="both"/>
              <w:rPr>
                <w:rFonts w:ascii="Arial" w:hAnsi="Arial" w:cs="Arial"/>
                <w:b/>
                <w:bCs/>
                <w:i/>
                <w:iCs/>
                <w:sz w:val="24"/>
                <w:szCs w:val="24"/>
                <w:lang w:val="it-IT"/>
              </w:rPr>
            </w:pPr>
            <w:r>
              <w:rPr>
                <w:rFonts w:ascii="Arial" w:hAnsi="Arial" w:cs="Arial"/>
                <w:b/>
                <w:bCs/>
                <w:i/>
                <w:iCs/>
                <w:sz w:val="24"/>
                <w:szCs w:val="24"/>
                <w:lang w:val="it-IT"/>
              </w:rPr>
              <w:t>…</w:t>
            </w:r>
          </w:p>
        </w:tc>
      </w:tr>
    </w:tbl>
    <w:p w14:paraId="06EA51DD" w14:textId="77777777" w:rsidR="00F10896" w:rsidRDefault="00F10896" w:rsidP="00390366">
      <w:pPr>
        <w:jc w:val="both"/>
        <w:rPr>
          <w:rFonts w:ascii="Arial" w:hAnsi="Arial" w:cs="Arial"/>
          <w:b/>
          <w:bCs/>
          <w:i/>
          <w:iCs/>
          <w:sz w:val="24"/>
          <w:szCs w:val="24"/>
          <w:lang w:val="it-IT"/>
        </w:rPr>
      </w:pPr>
    </w:p>
    <w:sectPr w:rsidR="00F108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3193"/>
    <w:multiLevelType w:val="singleLevel"/>
    <w:tmpl w:val="7036927F"/>
    <w:lvl w:ilvl="0">
      <w:start w:val="2"/>
      <w:numFmt w:val="decimal"/>
      <w:lvlText w:val="Q%1."/>
      <w:lvlJc w:val="left"/>
      <w:pPr>
        <w:tabs>
          <w:tab w:val="num" w:pos="864"/>
        </w:tabs>
        <w:ind w:left="864" w:hanging="720"/>
      </w:pPr>
      <w:rPr>
        <w:i/>
        <w:iCs/>
        <w:snapToGrid/>
        <w:color w:val="000000"/>
        <w:spacing w:val="-2"/>
        <w:sz w:val="23"/>
        <w:szCs w:val="23"/>
      </w:rPr>
    </w:lvl>
  </w:abstractNum>
  <w:abstractNum w:abstractNumId="1" w15:restartNumberingAfterBreak="0">
    <w:nsid w:val="051A3448"/>
    <w:multiLevelType w:val="singleLevel"/>
    <w:tmpl w:val="7A693E3C"/>
    <w:lvl w:ilvl="0">
      <w:start w:val="8"/>
      <w:numFmt w:val="decimal"/>
      <w:lvlText w:val="Q%1."/>
      <w:lvlJc w:val="left"/>
      <w:pPr>
        <w:tabs>
          <w:tab w:val="num" w:pos="864"/>
        </w:tabs>
        <w:ind w:left="864" w:hanging="720"/>
      </w:pPr>
      <w:rPr>
        <w:i/>
        <w:iCs/>
        <w:snapToGrid/>
        <w:color w:val="000000"/>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75"/>
    <w:rsid w:val="001C2275"/>
    <w:rsid w:val="00325410"/>
    <w:rsid w:val="00377C8C"/>
    <w:rsid w:val="0038085D"/>
    <w:rsid w:val="00390366"/>
    <w:rsid w:val="00477781"/>
    <w:rsid w:val="00562B75"/>
    <w:rsid w:val="0060309F"/>
    <w:rsid w:val="009D51AC"/>
    <w:rsid w:val="00B12A0E"/>
    <w:rsid w:val="00B47600"/>
    <w:rsid w:val="00D16D02"/>
    <w:rsid w:val="00D27403"/>
    <w:rsid w:val="00F10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BCCB"/>
  <w15:chartTrackingRefBased/>
  <w15:docId w15:val="{983FBC50-4012-439F-AD46-2E90DC035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085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62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79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1685</Words>
  <Characters>9610</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Tosto</dc:creator>
  <cp:keywords/>
  <dc:description/>
  <cp:lastModifiedBy>nota Utilitalia-FISEAssoambiente</cp:lastModifiedBy>
  <cp:revision>2</cp:revision>
  <dcterms:created xsi:type="dcterms:W3CDTF">2021-05-13T14:24:00Z</dcterms:created>
  <dcterms:modified xsi:type="dcterms:W3CDTF">2021-05-13T14:24:00Z</dcterms:modified>
</cp:coreProperties>
</file>